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60C" w:rsidRPr="00871C2F" w:rsidRDefault="00195FC1" w:rsidP="00871C2F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71C2F">
        <w:rPr>
          <w:rFonts w:ascii="Times New Roman" w:hAnsi="Times New Roman" w:cs="Times New Roman"/>
          <w:b/>
          <w:bCs/>
          <w:sz w:val="28"/>
          <w:szCs w:val="28"/>
        </w:rPr>
        <w:t>Дайджест исследований,</w:t>
      </w:r>
      <w:r w:rsidR="007920A6">
        <w:rPr>
          <w:rFonts w:ascii="Times New Roman" w:hAnsi="Times New Roman" w:cs="Times New Roman"/>
          <w:b/>
          <w:bCs/>
          <w:sz w:val="28"/>
          <w:szCs w:val="28"/>
        </w:rPr>
        <w:t xml:space="preserve"> посвященных проблемам </w:t>
      </w:r>
      <w:proofErr w:type="spellStart"/>
      <w:r w:rsidR="007920A6">
        <w:rPr>
          <w:rFonts w:ascii="Times New Roman" w:hAnsi="Times New Roman" w:cs="Times New Roman"/>
          <w:b/>
          <w:bCs/>
          <w:sz w:val="28"/>
          <w:szCs w:val="28"/>
        </w:rPr>
        <w:t>атеротромбоза</w:t>
      </w:r>
      <w:proofErr w:type="spellEnd"/>
      <w:r w:rsidR="007920A6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proofErr w:type="spellStart"/>
      <w:r w:rsidR="007920A6">
        <w:rPr>
          <w:rFonts w:ascii="Times New Roman" w:hAnsi="Times New Roman" w:cs="Times New Roman"/>
          <w:b/>
          <w:bCs/>
          <w:sz w:val="28"/>
          <w:szCs w:val="28"/>
        </w:rPr>
        <w:t>антикоагулянтной</w:t>
      </w:r>
      <w:proofErr w:type="spellEnd"/>
      <w:r w:rsidR="007920A6">
        <w:rPr>
          <w:rFonts w:ascii="Times New Roman" w:hAnsi="Times New Roman" w:cs="Times New Roman"/>
          <w:b/>
          <w:bCs/>
          <w:sz w:val="28"/>
          <w:szCs w:val="28"/>
        </w:rPr>
        <w:t xml:space="preserve"> терапии,</w:t>
      </w:r>
      <w:r w:rsidRPr="00871C2F">
        <w:rPr>
          <w:rFonts w:ascii="Times New Roman" w:hAnsi="Times New Roman" w:cs="Times New Roman"/>
          <w:b/>
          <w:bCs/>
          <w:sz w:val="28"/>
          <w:szCs w:val="28"/>
        </w:rPr>
        <w:t xml:space="preserve"> доложенных на научной сессии Американской Коллегии Кардиологов 2026</w:t>
      </w:r>
    </w:p>
    <w:p w:rsidR="00195FC1" w:rsidRPr="00871C2F" w:rsidRDefault="00195FC1" w:rsidP="00871C2F">
      <w:pPr>
        <w:tabs>
          <w:tab w:val="left" w:pos="3634"/>
        </w:tabs>
        <w:spacing w:line="360" w:lineRule="auto"/>
        <w:rPr>
          <w:rFonts w:ascii="Times New Roman" w:hAnsi="Times New Roman" w:cs="Times New Roman"/>
        </w:rPr>
      </w:pPr>
      <w:r w:rsidRPr="00871C2F">
        <w:rPr>
          <w:rFonts w:ascii="Times New Roman" w:hAnsi="Times New Roman" w:cs="Times New Roman"/>
        </w:rPr>
        <w:tab/>
      </w:r>
    </w:p>
    <w:p w:rsidR="009859F2" w:rsidRPr="0095783E" w:rsidRDefault="009B6D4E" w:rsidP="009B6D4E">
      <w:pPr>
        <w:tabs>
          <w:tab w:val="left" w:pos="426"/>
        </w:tabs>
        <w:spacing w:line="360" w:lineRule="auto"/>
        <w:rPr>
          <w:rStyle w:val="a5"/>
          <w:rFonts w:ascii="Times New Roman" w:hAnsi="Times New Roman" w:cs="Times New Roman"/>
          <w:color w:val="131212"/>
          <w:shd w:val="clear" w:color="auto" w:fill="FFFFFF"/>
        </w:rPr>
      </w:pPr>
      <w:r>
        <w:rPr>
          <w:rStyle w:val="a5"/>
          <w:rFonts w:ascii="Times New Roman" w:hAnsi="Times New Roman" w:cs="Times New Roman"/>
          <w:color w:val="131212"/>
          <w:shd w:val="clear" w:color="auto" w:fill="FFFFFF"/>
          <w:lang w:val="en-US"/>
        </w:rPr>
        <w:tab/>
      </w:r>
      <w:r w:rsidR="009859F2" w:rsidRPr="009859F2">
        <w:rPr>
          <w:rStyle w:val="a5"/>
          <w:rFonts w:ascii="Times New Roman" w:hAnsi="Times New Roman" w:cs="Times New Roman"/>
          <w:color w:val="131212"/>
          <w:shd w:val="clear" w:color="auto" w:fill="FFFFFF"/>
          <w:lang w:val="en-US"/>
        </w:rPr>
        <w:t>HOST</w:t>
      </w:r>
      <w:r w:rsidR="009859F2" w:rsidRPr="009859F2">
        <w:rPr>
          <w:rStyle w:val="a5"/>
          <w:rFonts w:ascii="Times New Roman" w:hAnsi="Times New Roman" w:cs="Times New Roman"/>
          <w:color w:val="131212"/>
          <w:shd w:val="clear" w:color="auto" w:fill="FFFFFF"/>
        </w:rPr>
        <w:t>-</w:t>
      </w:r>
      <w:r w:rsidR="009859F2" w:rsidRPr="009859F2">
        <w:rPr>
          <w:rStyle w:val="a5"/>
          <w:rFonts w:ascii="Times New Roman" w:hAnsi="Times New Roman" w:cs="Times New Roman"/>
          <w:color w:val="131212"/>
          <w:shd w:val="clear" w:color="auto" w:fill="FFFFFF"/>
          <w:lang w:val="en-US"/>
        </w:rPr>
        <w:t>EXAM</w:t>
      </w:r>
      <w:r w:rsidR="009859F2" w:rsidRPr="009859F2">
        <w:rPr>
          <w:rStyle w:val="a5"/>
          <w:rFonts w:ascii="Times New Roman" w:hAnsi="Times New Roman" w:cs="Times New Roman"/>
          <w:color w:val="131212"/>
          <w:shd w:val="clear" w:color="auto" w:fill="FFFFFF"/>
        </w:rPr>
        <w:t xml:space="preserve"> 10 </w:t>
      </w:r>
      <w:r w:rsidR="0095783E">
        <w:rPr>
          <w:rStyle w:val="a5"/>
          <w:rFonts w:ascii="Times New Roman" w:hAnsi="Times New Roman" w:cs="Times New Roman"/>
          <w:color w:val="131212"/>
          <w:shd w:val="clear" w:color="auto" w:fill="FFFFFF"/>
        </w:rPr>
        <w:t xml:space="preserve">лет наблюдения: </w:t>
      </w:r>
      <w:proofErr w:type="spellStart"/>
      <w:r w:rsidR="0095783E">
        <w:rPr>
          <w:rStyle w:val="a5"/>
          <w:rFonts w:ascii="Times New Roman" w:hAnsi="Times New Roman" w:cs="Times New Roman"/>
          <w:color w:val="131212"/>
          <w:shd w:val="clear" w:color="auto" w:fill="FFFFFF"/>
        </w:rPr>
        <w:t>клопидогрел</w:t>
      </w:r>
      <w:proofErr w:type="spellEnd"/>
      <w:r w:rsidR="0095783E">
        <w:rPr>
          <w:rStyle w:val="a5"/>
          <w:rFonts w:ascii="Times New Roman" w:hAnsi="Times New Roman" w:cs="Times New Roman"/>
          <w:color w:val="131212"/>
          <w:shd w:val="clear" w:color="auto" w:fill="FFFFFF"/>
        </w:rPr>
        <w:t xml:space="preserve"> против аспирина у пациентов, ранее перенесших ЧКВ</w:t>
      </w:r>
    </w:p>
    <w:p w:rsidR="009859F2" w:rsidRPr="009859F2" w:rsidRDefault="009B6D4E" w:rsidP="009B6D4E">
      <w:pPr>
        <w:tabs>
          <w:tab w:val="left" w:pos="426"/>
        </w:tabs>
        <w:spacing w:line="360" w:lineRule="auto"/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  <w:tab/>
      </w:r>
      <w:r w:rsidR="009859F2" w:rsidRPr="009859F2"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  <w:t xml:space="preserve">Аспирин традиционно рассматривается как краеугольный камень вторичной профилактики ишемической болезни сердца. Однако большая часть доказательств его эффективности была получена до внедрения современных фармакологических и интервенционных методов лечения. В последнее время всё чаще ставится под сомнение приоритет аспирина, особенно в свете накапливающихся данных сравнительных исследований ингибиторов P2Y12 и аспирина в режиме </w:t>
      </w:r>
      <w:proofErr w:type="spellStart"/>
      <w:r w:rsidR="009859F2" w:rsidRPr="009859F2"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  <w:t>антитромбоцитарной</w:t>
      </w:r>
      <w:proofErr w:type="spellEnd"/>
      <w:r w:rsidR="009859F2" w:rsidRPr="009859F2"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  <w:t xml:space="preserve"> </w:t>
      </w:r>
      <w:proofErr w:type="spellStart"/>
      <w:r w:rsidR="009859F2" w:rsidRPr="009859F2"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  <w:t>монотерапии</w:t>
      </w:r>
      <w:proofErr w:type="spellEnd"/>
      <w:r w:rsidR="009859F2" w:rsidRPr="009859F2"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  <w:t xml:space="preserve">. Долгосрочные клинические исходы </w:t>
      </w:r>
      <w:proofErr w:type="spellStart"/>
      <w:r w:rsidR="009859F2" w:rsidRPr="009859F2"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  <w:t>монотерапии</w:t>
      </w:r>
      <w:proofErr w:type="spellEnd"/>
      <w:r w:rsidR="009859F2" w:rsidRPr="009859F2"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  <w:t xml:space="preserve"> </w:t>
      </w:r>
      <w:proofErr w:type="spellStart"/>
      <w:r w:rsidR="009859F2" w:rsidRPr="009859F2"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  <w:t>клопидогрелом</w:t>
      </w:r>
      <w:proofErr w:type="spellEnd"/>
      <w:r w:rsidR="009859F2" w:rsidRPr="009859F2"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  <w:t xml:space="preserve"> по сравнению с аспирином после </w:t>
      </w:r>
      <w:proofErr w:type="spellStart"/>
      <w:r w:rsidR="009859F2" w:rsidRPr="009859F2"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  <w:t>чрескожного</w:t>
      </w:r>
      <w:proofErr w:type="spellEnd"/>
      <w:r w:rsidR="009859F2" w:rsidRPr="009859F2"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  <w:t xml:space="preserve"> коронарного вмешательства (ЧКВ) остаются неопределёнными.</w:t>
      </w:r>
    </w:p>
    <w:p w:rsidR="0095783E" w:rsidRDefault="009859F2" w:rsidP="009859F2">
      <w:pPr>
        <w:tabs>
          <w:tab w:val="left" w:pos="3634"/>
        </w:tabs>
        <w:spacing w:line="360" w:lineRule="auto"/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  <w:t xml:space="preserve">На научной сессии АСС 2026 доложены результаты продленного наблюдения за пациентами, включенными 10 лет назад в исследование </w:t>
      </w:r>
      <w:r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  <w:lang w:val="en-US"/>
        </w:rPr>
        <w:t>HOST</w:t>
      </w:r>
      <w:r w:rsidRPr="009859F2"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  <w:t>-</w:t>
      </w:r>
      <w:r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  <w:lang w:val="en-US"/>
        </w:rPr>
        <w:t>EXAM</w:t>
      </w:r>
      <w:r w:rsidRPr="009859F2"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  <w:t xml:space="preserve">. </w:t>
      </w:r>
      <w:r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  <w:t xml:space="preserve">Напомним, что в этом исследовании пациенты, </w:t>
      </w:r>
      <w:r w:rsidRPr="009859F2"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  <w:t xml:space="preserve">завершившие двойную </w:t>
      </w:r>
      <w:proofErr w:type="spellStart"/>
      <w:r w:rsidRPr="009859F2"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  <w:t>антитромбоцитарную</w:t>
      </w:r>
      <w:proofErr w:type="spellEnd"/>
      <w:r w:rsidRPr="009859F2"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  <w:t xml:space="preserve"> терапию в течение 6–18 месяцев после ЧКВ без клинических событий, были </w:t>
      </w:r>
      <w:proofErr w:type="spellStart"/>
      <w:r w:rsidRPr="009859F2"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  <w:t>рандомизированы</w:t>
      </w:r>
      <w:proofErr w:type="spellEnd"/>
      <w:r w:rsidRPr="009859F2"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  <w:t xml:space="preserve"> для приёма </w:t>
      </w:r>
      <w:proofErr w:type="spellStart"/>
      <w:r w:rsidRPr="009859F2"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  <w:t>клопидогрела</w:t>
      </w:r>
      <w:proofErr w:type="spellEnd"/>
      <w:r w:rsidRPr="009859F2"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  <w:t xml:space="preserve"> (75 мг 1 раз в сутки) или аспирина (100 мг 1 раз в сутки). Первичная конечная точка включала комбинированный показатель: смерть от всех причин, </w:t>
      </w:r>
      <w:proofErr w:type="spellStart"/>
      <w:r w:rsidRPr="009859F2"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  <w:t>нефатальный</w:t>
      </w:r>
      <w:proofErr w:type="spellEnd"/>
      <w:r w:rsidRPr="009859F2"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  <w:t xml:space="preserve"> инфаркт миокарда, инсульт, </w:t>
      </w:r>
      <w:proofErr w:type="spellStart"/>
      <w:r w:rsidRPr="009859F2"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  <w:t>регоспитализацию</w:t>
      </w:r>
      <w:proofErr w:type="spellEnd"/>
      <w:r w:rsidRPr="009859F2"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  <w:t xml:space="preserve"> по поводу острого коронарного синдрома и кровотечение типа ≥3 по шкале BARC. Анализ проводился в популяции </w:t>
      </w:r>
      <w:proofErr w:type="spellStart"/>
      <w:r w:rsidRPr="009859F2"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  <w:t>intention-to-treat</w:t>
      </w:r>
      <w:proofErr w:type="spellEnd"/>
      <w:r w:rsidRPr="009859F2"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  <w:t xml:space="preserve">. </w:t>
      </w:r>
    </w:p>
    <w:p w:rsidR="009859F2" w:rsidRPr="009859F2" w:rsidRDefault="009859F2" w:rsidP="009859F2">
      <w:pPr>
        <w:tabs>
          <w:tab w:val="left" w:pos="3634"/>
        </w:tabs>
        <w:spacing w:line="360" w:lineRule="auto"/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</w:pPr>
      <w:r w:rsidRPr="009859F2"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  <w:t xml:space="preserve">Медиана наблюдения </w:t>
      </w:r>
      <w:r w:rsidR="0095783E"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  <w:t xml:space="preserve">в продленном исследовании </w:t>
      </w:r>
      <w:r w:rsidRPr="009859F2"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  <w:t>составила 10,5 лет.</w:t>
      </w:r>
    </w:p>
    <w:p w:rsidR="009859F2" w:rsidRDefault="009859F2" w:rsidP="009859F2">
      <w:pPr>
        <w:tabs>
          <w:tab w:val="left" w:pos="3634"/>
        </w:tabs>
        <w:spacing w:line="360" w:lineRule="auto"/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</w:pPr>
      <w:r w:rsidRPr="009859F2"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  <w:t xml:space="preserve">В исследование включено 5438 пациентов (группа аспирина — 2728, группа </w:t>
      </w:r>
      <w:proofErr w:type="spellStart"/>
      <w:r w:rsidRPr="009859F2"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  <w:t>клопидогрела</w:t>
      </w:r>
      <w:proofErr w:type="spellEnd"/>
      <w:r w:rsidRPr="009859F2"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  <w:t xml:space="preserve"> — 2710). Приём </w:t>
      </w:r>
      <w:proofErr w:type="spellStart"/>
      <w:r w:rsidRPr="009859F2"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  <w:t>клопидогрела</w:t>
      </w:r>
      <w:proofErr w:type="spellEnd"/>
      <w:r w:rsidRPr="009859F2"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  <w:t xml:space="preserve"> </w:t>
      </w:r>
      <w:r w:rsidR="0095783E"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  <w:t xml:space="preserve">в течение 10 лет после ЧКВ </w:t>
      </w:r>
      <w:r w:rsidRPr="009859F2"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  <w:t xml:space="preserve">ассоциировался с более низкой частотой первичной комбинированной конечной точки по сравнению с аспирином (оценка Каплана–Майера 25,4% против 28,5%; отношение рисков 0,86; 95% доверительный интервал 0,77–0,96; </w:t>
      </w:r>
      <w:proofErr w:type="spellStart"/>
      <w:r w:rsidRPr="009859F2"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  <w:t>log-rank</w:t>
      </w:r>
      <w:proofErr w:type="spellEnd"/>
      <w:r w:rsidRPr="009859F2"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  <w:t xml:space="preserve"> p = 0,0050). </w:t>
      </w:r>
      <w:proofErr w:type="spellStart"/>
      <w:r w:rsidRPr="009859F2"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  <w:t>Клопидогрел</w:t>
      </w:r>
      <w:proofErr w:type="spellEnd"/>
      <w:r w:rsidRPr="009859F2"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  <w:t xml:space="preserve"> также показал более низкую частоту тромботических исходов (17,3% против 20,0%; p = 0,0024) и кровотечений (9,1% против 10,8%; p = 0,020). Общая смертность в группах не различалась.</w:t>
      </w:r>
      <w:r w:rsidR="0095783E"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  <w:t xml:space="preserve"> </w:t>
      </w:r>
    </w:p>
    <w:p w:rsidR="0095783E" w:rsidRPr="0095783E" w:rsidRDefault="0095783E" w:rsidP="009859F2">
      <w:pPr>
        <w:tabs>
          <w:tab w:val="left" w:pos="3634"/>
        </w:tabs>
        <w:spacing w:line="360" w:lineRule="auto"/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  <w:t>При анализе тех пациентов, которые действительно принимали препарат как предписано «</w:t>
      </w:r>
      <w:r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  <w:lang w:val="en-US"/>
        </w:rPr>
        <w:t>per</w:t>
      </w:r>
      <w:r w:rsidRPr="0095783E"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  <w:t xml:space="preserve"> </w:t>
      </w:r>
      <w:r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  <w:lang w:val="en-US"/>
        </w:rPr>
        <w:t>protocol</w:t>
      </w:r>
      <w:r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  <w:t xml:space="preserve">») преимущества </w:t>
      </w:r>
      <w:proofErr w:type="spellStart"/>
      <w:r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  <w:t>клопидогрела</w:t>
      </w:r>
      <w:proofErr w:type="spellEnd"/>
      <w:r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  <w:t xml:space="preserve"> были еще более значимыми: для первичной конечной точки ОШ </w:t>
      </w:r>
      <w:r w:rsidRPr="0095783E"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  <w:t>составило 0,76 (95% ДИ 0,67 – 0,</w:t>
      </w:r>
      <w:r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  <w:t>86</w:t>
      </w:r>
      <w:r w:rsidRPr="0095783E"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  <w:t>; p&lt;0,0001</w:t>
      </w:r>
      <w:r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  <w:t xml:space="preserve">), для тромботических </w:t>
      </w:r>
      <w:r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  <w:lastRenderedPageBreak/>
        <w:t xml:space="preserve">осложнений </w:t>
      </w:r>
      <w:r w:rsidRPr="0095783E"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  <w:t xml:space="preserve">– 0,69 (95% ДИ 0,60-0,81; </w:t>
      </w:r>
      <w:r w:rsidRPr="0095783E"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  <w:t>p&lt;0,0001</w:t>
      </w:r>
      <w:r w:rsidRPr="0095783E"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  <w:t xml:space="preserve">), для кровотечений 0,73 (95% ДИ 0,59-0,89; p=0,00025). </w:t>
      </w:r>
    </w:p>
    <w:p w:rsidR="00C656DC" w:rsidRDefault="0095783E" w:rsidP="009859F2">
      <w:pPr>
        <w:tabs>
          <w:tab w:val="left" w:pos="3634"/>
        </w:tabs>
        <w:spacing w:line="360" w:lineRule="auto"/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</w:pPr>
      <w:proofErr w:type="spellStart"/>
      <w:r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  <w:t>Т.о</w:t>
      </w:r>
      <w:proofErr w:type="spellEnd"/>
      <w:r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  <w:t>., п</w:t>
      </w:r>
      <w:r w:rsidR="009859F2" w:rsidRPr="009859F2"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  <w:t xml:space="preserve">ри 10-летнем наблюдении </w:t>
      </w:r>
      <w:proofErr w:type="spellStart"/>
      <w:r w:rsidR="009859F2" w:rsidRPr="009859F2"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  <w:t>монотерапия</w:t>
      </w:r>
      <w:proofErr w:type="spellEnd"/>
      <w:r w:rsidR="009859F2" w:rsidRPr="009859F2"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  <w:t xml:space="preserve"> </w:t>
      </w:r>
      <w:proofErr w:type="spellStart"/>
      <w:r w:rsidR="009859F2" w:rsidRPr="009859F2"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  <w:t>клопидогрелом</w:t>
      </w:r>
      <w:proofErr w:type="spellEnd"/>
      <w:r w:rsidR="009859F2" w:rsidRPr="009859F2"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  <w:t xml:space="preserve"> после ЧКВ ассоциировалась с более благоприятными исходами в отношении комбинированной конечной точки, ишемических событий и кровотечений по сравнению с </w:t>
      </w:r>
      <w:proofErr w:type="spellStart"/>
      <w:r w:rsidR="009859F2" w:rsidRPr="009859F2"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  <w:t>монотерапией</w:t>
      </w:r>
      <w:proofErr w:type="spellEnd"/>
      <w:r w:rsidR="009859F2" w:rsidRPr="009859F2"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  <w:t xml:space="preserve"> аспирином, однако не влияла на общую смертность. Полученные данные подтверждают целесообразность рассмотрения </w:t>
      </w:r>
      <w:proofErr w:type="spellStart"/>
      <w:r w:rsidR="009859F2" w:rsidRPr="009859F2"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  <w:t>клопидогрела</w:t>
      </w:r>
      <w:proofErr w:type="spellEnd"/>
      <w:r w:rsidR="009859F2" w:rsidRPr="009859F2"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  <w:t xml:space="preserve"> как альтернативы аспирину для долгосрочной </w:t>
      </w:r>
      <w:proofErr w:type="spellStart"/>
      <w:r w:rsidR="009859F2" w:rsidRPr="009859F2"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  <w:t>антитромбоцитарной</w:t>
      </w:r>
      <w:proofErr w:type="spellEnd"/>
      <w:r w:rsidR="009859F2" w:rsidRPr="009859F2"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  <w:t xml:space="preserve"> </w:t>
      </w:r>
      <w:proofErr w:type="spellStart"/>
      <w:r w:rsidR="009859F2" w:rsidRPr="009859F2"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  <w:t>монотерапии</w:t>
      </w:r>
      <w:proofErr w:type="spellEnd"/>
      <w:r w:rsidR="009859F2" w:rsidRPr="009859F2"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  <w:t xml:space="preserve"> в хронической фазе после ЧКВ.</w:t>
      </w:r>
    </w:p>
    <w:p w:rsidR="0095783E" w:rsidRDefault="0095783E" w:rsidP="009859F2">
      <w:pPr>
        <w:tabs>
          <w:tab w:val="left" w:pos="3634"/>
        </w:tabs>
        <w:spacing w:line="360" w:lineRule="auto"/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</w:pPr>
    </w:p>
    <w:p w:rsidR="0095783E" w:rsidRDefault="0095783E" w:rsidP="009859F2">
      <w:pPr>
        <w:tabs>
          <w:tab w:val="left" w:pos="3634"/>
        </w:tabs>
        <w:spacing w:line="360" w:lineRule="auto"/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</w:pPr>
      <w:r w:rsidRPr="0095783E"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  <w:t>https://www.thelancet.com/journals/lancet/article/PIIS0140-6736(26)00422-8/abstract</w:t>
      </w:r>
    </w:p>
    <w:p w:rsidR="0095783E" w:rsidRDefault="0095783E" w:rsidP="009859F2">
      <w:pPr>
        <w:tabs>
          <w:tab w:val="left" w:pos="3634"/>
        </w:tabs>
        <w:spacing w:line="360" w:lineRule="auto"/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</w:pPr>
      <w:r w:rsidRPr="0095783E"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  <w:t>https://clinicaltrialresults.org/wp-content/uploads/2026/03/Kim-HS.pdf</w:t>
      </w:r>
    </w:p>
    <w:p w:rsidR="00BC4FED" w:rsidRDefault="00BC4FED" w:rsidP="00C656DC">
      <w:pPr>
        <w:tabs>
          <w:tab w:val="left" w:pos="3634"/>
        </w:tabs>
        <w:spacing w:line="360" w:lineRule="auto"/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</w:pPr>
    </w:p>
    <w:p w:rsidR="00BC4FED" w:rsidRDefault="00BC4FED" w:rsidP="00C656DC">
      <w:pPr>
        <w:tabs>
          <w:tab w:val="left" w:pos="3634"/>
        </w:tabs>
        <w:spacing w:line="360" w:lineRule="auto"/>
        <w:rPr>
          <w:rStyle w:val="a5"/>
          <w:rFonts w:ascii="Times New Roman" w:hAnsi="Times New Roman" w:cs="Times New Roman"/>
          <w:color w:val="131212"/>
          <w:shd w:val="clear" w:color="auto" w:fill="FFFFFF"/>
        </w:rPr>
      </w:pPr>
      <w:r w:rsidRPr="00BC4FED"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  <w:t xml:space="preserve">Также на этой же сессии доложены результаты </w:t>
      </w:r>
      <w:r>
        <w:rPr>
          <w:rStyle w:val="a5"/>
          <w:rFonts w:ascii="Times New Roman" w:hAnsi="Times New Roman" w:cs="Times New Roman"/>
          <w:color w:val="131212"/>
          <w:shd w:val="clear" w:color="auto" w:fill="FFFFFF"/>
        </w:rPr>
        <w:t xml:space="preserve">мета-анализа на эту же тему. </w:t>
      </w:r>
    </w:p>
    <w:p w:rsidR="00BC4FED" w:rsidRPr="00BC4FED" w:rsidRDefault="00BC4FED" w:rsidP="00BC4FED">
      <w:pPr>
        <w:tabs>
          <w:tab w:val="left" w:pos="3634"/>
        </w:tabs>
        <w:spacing w:line="360" w:lineRule="auto"/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</w:pPr>
      <w:r w:rsidRPr="00BC4FED"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  <w:t xml:space="preserve">Включались </w:t>
      </w:r>
      <w:proofErr w:type="spellStart"/>
      <w:r w:rsidRPr="00BC4FED"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  <w:t>рандомизированные</w:t>
      </w:r>
      <w:proofErr w:type="spellEnd"/>
      <w:r w:rsidRPr="00BC4FED"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  <w:t xml:space="preserve"> клинические исследования и наблюдательные исследования, в которых проводилось сравнение аспирина и </w:t>
      </w:r>
      <w:proofErr w:type="spellStart"/>
      <w:r w:rsidRPr="00BC4FED"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  <w:t>клопидогрела</w:t>
      </w:r>
      <w:proofErr w:type="spellEnd"/>
      <w:r w:rsidRPr="00BC4FED"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  <w:t xml:space="preserve"> в режиме </w:t>
      </w:r>
      <w:proofErr w:type="spellStart"/>
      <w:r w:rsidRPr="00BC4FED"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  <w:t>монотерапии</w:t>
      </w:r>
      <w:proofErr w:type="spellEnd"/>
      <w:r w:rsidRPr="00BC4FED"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  <w:t xml:space="preserve"> после завершения стандартного курса ДАТ. Первичными исходами были большие неблагоприятные сердечно-сосудистые события (MACE) и большие кровотечения. Анализ выполнен с использованием моделей случайных эффектов; результаты предс</w:t>
      </w:r>
      <w:r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  <w:t>тавлены как отношения рисков (ОР</w:t>
      </w:r>
      <w:r w:rsidRPr="00BC4FED"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  <w:t>) с 95</w:t>
      </w:r>
      <w:r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  <w:t>% доверительными интервалами (ДИ</w:t>
      </w:r>
      <w:r w:rsidRPr="00BC4FED"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  <w:t>).</w:t>
      </w:r>
    </w:p>
    <w:p w:rsidR="00BC4FED" w:rsidRPr="00BC4FED" w:rsidRDefault="00BC4FED" w:rsidP="00BC4FED">
      <w:pPr>
        <w:tabs>
          <w:tab w:val="left" w:pos="3634"/>
        </w:tabs>
        <w:spacing w:line="360" w:lineRule="auto"/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</w:pPr>
      <w:r w:rsidRPr="00BC4FED"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  <w:t xml:space="preserve">В мета-анализ включено 10 исследований с участием 162 829 пациентов. Применение </w:t>
      </w:r>
      <w:proofErr w:type="spellStart"/>
      <w:r w:rsidRPr="00BC4FED"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  <w:t>клопидогрела</w:t>
      </w:r>
      <w:proofErr w:type="spellEnd"/>
      <w:r w:rsidRPr="00BC4FED"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  <w:t xml:space="preserve"> ассоциировалось со значи</w:t>
      </w:r>
      <w:r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  <w:t>мо более низким риском MACE (ОР 0,79; 95% ДИ</w:t>
      </w:r>
      <w:r w:rsidRPr="00BC4FED"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  <w:t xml:space="preserve"> 0,70–0,90) и суммарных неблагоприятных клинических событий (NACE; </w:t>
      </w:r>
      <w:r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  <w:t>ОР 0,86; 95% ДИ</w:t>
      </w:r>
      <w:r w:rsidRPr="00BC4FED"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  <w:t xml:space="preserve"> 0,73–0,99) по сравнению с аспирином. В отношении больших кровотечений статистически значимых различий</w:t>
      </w:r>
      <w:r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  <w:t xml:space="preserve"> между группами не выявлено (ОР 0,85; 95% ДИ</w:t>
      </w:r>
      <w:r w:rsidRPr="00BC4FED"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  <w:t xml:space="preserve"> 0,60–1,21). Также не обнаружено различий </w:t>
      </w:r>
      <w:r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  <w:t xml:space="preserve">отдельно </w:t>
      </w:r>
      <w:r w:rsidRPr="00BC4FED"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  <w:t xml:space="preserve">по общей смертности, инфаркту миокарда, </w:t>
      </w:r>
      <w:proofErr w:type="spellStart"/>
      <w:r w:rsidRPr="00BC4FED"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  <w:t>реваскуляризации</w:t>
      </w:r>
      <w:proofErr w:type="spellEnd"/>
      <w:r w:rsidRPr="00BC4FED"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  <w:t>, инсульту или любому кровотечению.</w:t>
      </w:r>
    </w:p>
    <w:p w:rsidR="00BC4FED" w:rsidRDefault="00BC4FED" w:rsidP="00BC4FED">
      <w:pPr>
        <w:tabs>
          <w:tab w:val="left" w:pos="3634"/>
        </w:tabs>
        <w:spacing w:line="360" w:lineRule="auto"/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</w:pPr>
      <w:r w:rsidRPr="00BC4FED"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  <w:t xml:space="preserve">У пациентов, перенёсших </w:t>
      </w:r>
      <w:proofErr w:type="spellStart"/>
      <w:r w:rsidRPr="00BC4FED"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  <w:t>чрескожное</w:t>
      </w:r>
      <w:proofErr w:type="spellEnd"/>
      <w:r w:rsidRPr="00BC4FED"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  <w:t xml:space="preserve"> коронарное вмешательство, </w:t>
      </w:r>
      <w:proofErr w:type="spellStart"/>
      <w:r w:rsidRPr="00BC4FED"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  <w:t>монотерапия</w:t>
      </w:r>
      <w:proofErr w:type="spellEnd"/>
      <w:r w:rsidRPr="00BC4FED"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  <w:t xml:space="preserve"> </w:t>
      </w:r>
      <w:proofErr w:type="spellStart"/>
      <w:r w:rsidRPr="00BC4FED"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  <w:t>клопидогрелом</w:t>
      </w:r>
      <w:proofErr w:type="spellEnd"/>
      <w:r w:rsidRPr="00BC4FED"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  <w:t xml:space="preserve"> после завершения стандартного курса ДАТ ассоциируется с более низкой частотой MACE и NACE по сравнению с </w:t>
      </w:r>
      <w:proofErr w:type="spellStart"/>
      <w:r w:rsidRPr="00BC4FED"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  <w:t>монотерапией</w:t>
      </w:r>
      <w:proofErr w:type="spellEnd"/>
      <w:r w:rsidRPr="00BC4FED"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  <w:t xml:space="preserve"> аспирином без увеличения риска кровотечений.</w:t>
      </w:r>
    </w:p>
    <w:p w:rsidR="00BC4FED" w:rsidRDefault="00BC4FED" w:rsidP="00BC4FED">
      <w:pPr>
        <w:tabs>
          <w:tab w:val="left" w:pos="3634"/>
        </w:tabs>
        <w:spacing w:line="360" w:lineRule="auto"/>
        <w:rPr>
          <w:rStyle w:val="a5"/>
          <w:rFonts w:ascii="Times New Roman" w:hAnsi="Times New Roman" w:cs="Times New Roman"/>
          <w:b w:val="0"/>
          <w:color w:val="131212"/>
          <w:shd w:val="clear" w:color="auto" w:fill="FFFFFF"/>
        </w:rPr>
      </w:pPr>
      <w:hyperlink r:id="rId4" w:history="1">
        <w:r w:rsidRPr="00A85694">
          <w:rPr>
            <w:rStyle w:val="a3"/>
            <w:rFonts w:ascii="Times New Roman" w:hAnsi="Times New Roman" w:cs="Times New Roman"/>
            <w:shd w:val="clear" w:color="auto" w:fill="FFFFFF"/>
          </w:rPr>
          <w:t>https://www.jacc.org/doi/10.1016/j.jacc.2026.02.308</w:t>
        </w:r>
      </w:hyperlink>
    </w:p>
    <w:p w:rsidR="009B6D4E" w:rsidRDefault="009B6D4E" w:rsidP="00C656DC">
      <w:pPr>
        <w:tabs>
          <w:tab w:val="left" w:pos="3634"/>
        </w:tabs>
        <w:spacing w:line="360" w:lineRule="auto"/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</w:pPr>
    </w:p>
    <w:p w:rsidR="00A6255B" w:rsidRDefault="004957C6" w:rsidP="004957C6">
      <w:pPr>
        <w:tabs>
          <w:tab w:val="left" w:pos="567"/>
        </w:tabs>
        <w:spacing w:line="360" w:lineRule="auto"/>
        <w:rPr>
          <w:rStyle w:val="a5"/>
          <w:rFonts w:ascii="Times New Roman" w:hAnsi="Times New Roman" w:cs="Times New Roman"/>
          <w:bCs w:val="0"/>
          <w:color w:val="131212"/>
          <w:shd w:val="clear" w:color="auto" w:fill="FFFFFF"/>
        </w:rPr>
      </w:pPr>
      <w:r>
        <w:rPr>
          <w:rStyle w:val="a5"/>
          <w:rFonts w:ascii="Times New Roman" w:hAnsi="Times New Roman" w:cs="Times New Roman"/>
          <w:bCs w:val="0"/>
          <w:color w:val="131212"/>
          <w:shd w:val="clear" w:color="auto" w:fill="FFFFFF"/>
        </w:rPr>
        <w:tab/>
      </w:r>
      <w:proofErr w:type="spellStart"/>
      <w:r w:rsidR="00A6255B" w:rsidRPr="004957C6">
        <w:rPr>
          <w:rStyle w:val="a5"/>
          <w:rFonts w:ascii="Times New Roman" w:hAnsi="Times New Roman" w:cs="Times New Roman"/>
          <w:bCs w:val="0"/>
          <w:color w:val="131212"/>
          <w:shd w:val="clear" w:color="auto" w:fill="FFFFFF"/>
        </w:rPr>
        <w:t>Тикагрелор</w:t>
      </w:r>
      <w:proofErr w:type="spellEnd"/>
      <w:r w:rsidR="00A6255B" w:rsidRPr="004957C6">
        <w:rPr>
          <w:rStyle w:val="a5"/>
          <w:rFonts w:ascii="Times New Roman" w:hAnsi="Times New Roman" w:cs="Times New Roman"/>
          <w:bCs w:val="0"/>
          <w:color w:val="131212"/>
          <w:shd w:val="clear" w:color="auto" w:fill="FFFFFF"/>
        </w:rPr>
        <w:t xml:space="preserve"> против </w:t>
      </w:r>
      <w:proofErr w:type="spellStart"/>
      <w:r w:rsidR="00A6255B" w:rsidRPr="004957C6">
        <w:rPr>
          <w:rStyle w:val="a5"/>
          <w:rFonts w:ascii="Times New Roman" w:hAnsi="Times New Roman" w:cs="Times New Roman"/>
          <w:bCs w:val="0"/>
          <w:color w:val="131212"/>
          <w:shd w:val="clear" w:color="auto" w:fill="FFFFFF"/>
        </w:rPr>
        <w:t>клопидогрела</w:t>
      </w:r>
      <w:proofErr w:type="spellEnd"/>
      <w:r w:rsidR="00A6255B" w:rsidRPr="004957C6">
        <w:rPr>
          <w:rStyle w:val="a5"/>
          <w:rFonts w:ascii="Times New Roman" w:hAnsi="Times New Roman" w:cs="Times New Roman"/>
          <w:bCs w:val="0"/>
          <w:color w:val="131212"/>
          <w:shd w:val="clear" w:color="auto" w:fill="FFFFFF"/>
        </w:rPr>
        <w:t xml:space="preserve"> при проведении «сложных» ЧКВ: мета-анализ</w:t>
      </w:r>
    </w:p>
    <w:p w:rsidR="004957C6" w:rsidRPr="004957C6" w:rsidRDefault="004957C6" w:rsidP="004957C6">
      <w:pPr>
        <w:tabs>
          <w:tab w:val="left" w:pos="567"/>
        </w:tabs>
        <w:spacing w:line="360" w:lineRule="auto"/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lastRenderedPageBreak/>
        <w:tab/>
      </w:r>
      <w:r w:rsidRPr="004957C6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Оптимальный выбор ингибитора P2Y12 при сложных </w:t>
      </w:r>
      <w:proofErr w:type="spellStart"/>
      <w:r w:rsidRPr="004957C6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чрескожных</w:t>
      </w:r>
      <w:proofErr w:type="spellEnd"/>
      <w:r w:rsidRPr="004957C6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коронарных вмешательствах (ЧКВ) остаётся неопределённым, поскольку большинство клинических исследований не обладали достаточной статистической мощностью для анализа данной подгруппы. Целью настоящего мета-анализа было сравнение эффективности и безопасности </w:t>
      </w:r>
      <w:proofErr w:type="spellStart"/>
      <w:r w:rsidRPr="004957C6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тикагрелора</w:t>
      </w:r>
      <w:proofErr w:type="spellEnd"/>
      <w:r w:rsidRPr="004957C6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и </w:t>
      </w:r>
      <w:proofErr w:type="spellStart"/>
      <w:r w:rsidRPr="004957C6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клопидогрела</w:t>
      </w:r>
      <w:proofErr w:type="spellEnd"/>
      <w:r w:rsidRPr="004957C6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у пациентов, перенёсших сложное ЧКВ.</w:t>
      </w:r>
    </w:p>
    <w:p w:rsidR="004957C6" w:rsidRPr="004957C6" w:rsidRDefault="004957C6" w:rsidP="004957C6">
      <w:pPr>
        <w:tabs>
          <w:tab w:val="left" w:pos="567"/>
        </w:tabs>
        <w:spacing w:line="360" w:lineRule="auto"/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ab/>
      </w:r>
      <w:r w:rsidRPr="004957C6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Проведён поиск в базе данных MEDLINE с момента её создания по июнь 2025 года для выявления исследований, в которых оценивалось применение </w:t>
      </w:r>
      <w:proofErr w:type="spellStart"/>
      <w:r w:rsidRPr="004957C6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тикагрелора</w:t>
      </w:r>
      <w:proofErr w:type="spellEnd"/>
      <w:r w:rsidRPr="004957C6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и </w:t>
      </w:r>
      <w:proofErr w:type="spellStart"/>
      <w:r w:rsidRPr="004957C6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клопидогрела</w:t>
      </w:r>
      <w:proofErr w:type="spellEnd"/>
      <w:r w:rsidRPr="004957C6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при сложном ЧКВ, а также их связь с сердечной смертью, ишемическими событиями, </w:t>
      </w:r>
      <w:proofErr w:type="spellStart"/>
      <w:r w:rsidRPr="004957C6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реваскуляризацией</w:t>
      </w:r>
      <w:proofErr w:type="spellEnd"/>
      <w:r w:rsidRPr="004957C6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целевого сосуда и общей смертностью. Два рецензента независимо проводили скрининг и извлечение данных. Для оценки относительного риска исходов использовался мета-анализ со случайными эффектами и обратной дисперсией. </w:t>
      </w:r>
    </w:p>
    <w:p w:rsidR="004957C6" w:rsidRPr="004957C6" w:rsidRDefault="004957C6" w:rsidP="004957C6">
      <w:pPr>
        <w:tabs>
          <w:tab w:val="left" w:pos="567"/>
        </w:tabs>
        <w:spacing w:line="360" w:lineRule="auto"/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ab/>
      </w:r>
      <w:r w:rsidRPr="004957C6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В объединённый анализ включено 6 </w:t>
      </w:r>
      <w:proofErr w:type="spellStart"/>
      <w:r w:rsidRPr="004957C6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рандомизированных</w:t>
      </w:r>
      <w:proofErr w:type="spellEnd"/>
      <w:r w:rsidRPr="004957C6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исследований с участием 26 999 пациентов, перенёсших сложное ЧКВ. Применение </w:t>
      </w:r>
      <w:proofErr w:type="spellStart"/>
      <w:r w:rsidRPr="004957C6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тикагрелора</w:t>
      </w:r>
      <w:proofErr w:type="spellEnd"/>
      <w:r w:rsidRPr="004957C6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ассоциировалось со значимым снижением риска сердечной смерти по сравнению с </w:t>
      </w:r>
      <w:proofErr w:type="spellStart"/>
      <w:r w:rsidRPr="004957C6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клопидогрелом</w:t>
      </w:r>
      <w:proofErr w:type="spellEnd"/>
      <w:r w:rsidRPr="004957C6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(относительный риск 0,63; 95% доверительный интервал 0,49–0,81). Статистически значимых разли</w:t>
      </w:r>
      <w:r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чий между группами не выявлено по</w:t>
      </w:r>
      <w:r w:rsidRPr="004957C6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частоте инфаркта миокарда (0,97; 0,70–1,33), </w:t>
      </w:r>
      <w:proofErr w:type="spellStart"/>
      <w:r w:rsidRPr="004957C6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реваскуляризации</w:t>
      </w:r>
      <w:proofErr w:type="spellEnd"/>
      <w:r w:rsidRPr="004957C6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целевого сосуда (0,92; 0,50–1,69), инсульта или транзиторной ишемической атаки (1,21; 0,37–3,93), общей смертности (0,91; 0,35–2,40) и больших кровотечений (0,99; 0,62–1,58).</w:t>
      </w:r>
    </w:p>
    <w:p w:rsidR="004957C6" w:rsidRDefault="004957C6" w:rsidP="004957C6">
      <w:pPr>
        <w:tabs>
          <w:tab w:val="left" w:pos="567"/>
        </w:tabs>
        <w:spacing w:line="360" w:lineRule="auto"/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ab/>
      </w:r>
      <w:r w:rsidRPr="004957C6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При сложном ЧКВ </w:t>
      </w:r>
      <w:proofErr w:type="spellStart"/>
      <w:r w:rsidRPr="004957C6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тикагрелор</w:t>
      </w:r>
      <w:proofErr w:type="spellEnd"/>
      <w:r w:rsidRPr="004957C6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снижает риск сердечной смерти, однако общая эффективность и безопасность препарата сопоставимы с таковыми у </w:t>
      </w:r>
      <w:proofErr w:type="spellStart"/>
      <w:r w:rsidRPr="004957C6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клопидогрела</w:t>
      </w:r>
      <w:proofErr w:type="spellEnd"/>
      <w:r w:rsidRPr="004957C6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.</w:t>
      </w:r>
    </w:p>
    <w:p w:rsidR="004957C6" w:rsidRDefault="004957C6" w:rsidP="004957C6">
      <w:pPr>
        <w:tabs>
          <w:tab w:val="left" w:pos="567"/>
        </w:tabs>
        <w:spacing w:line="360" w:lineRule="auto"/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</w:pPr>
      <w:hyperlink r:id="rId5" w:history="1">
        <w:r w:rsidRPr="00A85694">
          <w:rPr>
            <w:rStyle w:val="a3"/>
            <w:rFonts w:ascii="Times New Roman" w:hAnsi="Times New Roman" w:cs="Times New Roman"/>
            <w:shd w:val="clear" w:color="auto" w:fill="FFFFFF"/>
          </w:rPr>
          <w:t>https://www.jacc.org/doi/10.1016/j.jacc.2026.02.973</w:t>
        </w:r>
      </w:hyperlink>
    </w:p>
    <w:p w:rsidR="00A6255B" w:rsidRDefault="00A6255B" w:rsidP="00C656DC">
      <w:pPr>
        <w:tabs>
          <w:tab w:val="left" w:pos="3634"/>
        </w:tabs>
        <w:spacing w:line="360" w:lineRule="auto"/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</w:pPr>
    </w:p>
    <w:p w:rsidR="004957C6" w:rsidRDefault="004957C6" w:rsidP="004957C6">
      <w:pPr>
        <w:spacing w:line="360" w:lineRule="auto"/>
        <w:rPr>
          <w:rStyle w:val="a5"/>
          <w:rFonts w:ascii="Times New Roman" w:hAnsi="Times New Roman" w:cs="Times New Roman"/>
          <w:bCs w:val="0"/>
          <w:color w:val="131212"/>
          <w:shd w:val="clear" w:color="auto" w:fill="FFFFFF"/>
        </w:rPr>
      </w:pPr>
      <w:r w:rsidRPr="004957C6">
        <w:rPr>
          <w:rStyle w:val="a5"/>
          <w:rFonts w:ascii="Times New Roman" w:hAnsi="Times New Roman" w:cs="Times New Roman"/>
          <w:bCs w:val="0"/>
          <w:color w:val="131212"/>
          <w:shd w:val="clear" w:color="auto" w:fill="FFFFFF"/>
        </w:rPr>
        <w:tab/>
      </w:r>
      <w:proofErr w:type="spellStart"/>
      <w:r w:rsidRPr="004957C6">
        <w:rPr>
          <w:rStyle w:val="a5"/>
          <w:rFonts w:ascii="Times New Roman" w:hAnsi="Times New Roman" w:cs="Times New Roman"/>
          <w:bCs w:val="0"/>
          <w:color w:val="131212"/>
          <w:shd w:val="clear" w:color="auto" w:fill="FFFFFF"/>
        </w:rPr>
        <w:t>Тикагрелор</w:t>
      </w:r>
      <w:proofErr w:type="spellEnd"/>
      <w:r w:rsidRPr="004957C6">
        <w:rPr>
          <w:rStyle w:val="a5"/>
          <w:rFonts w:ascii="Times New Roman" w:hAnsi="Times New Roman" w:cs="Times New Roman"/>
          <w:bCs w:val="0"/>
          <w:color w:val="131212"/>
          <w:shd w:val="clear" w:color="auto" w:fill="FFFFFF"/>
        </w:rPr>
        <w:t xml:space="preserve"> в составе «тройной» </w:t>
      </w:r>
      <w:proofErr w:type="spellStart"/>
      <w:r w:rsidRPr="004957C6">
        <w:rPr>
          <w:rStyle w:val="a5"/>
          <w:rFonts w:ascii="Times New Roman" w:hAnsi="Times New Roman" w:cs="Times New Roman"/>
          <w:bCs w:val="0"/>
          <w:color w:val="131212"/>
          <w:shd w:val="clear" w:color="auto" w:fill="FFFFFF"/>
        </w:rPr>
        <w:t>антитромботической</w:t>
      </w:r>
      <w:proofErr w:type="spellEnd"/>
      <w:r w:rsidRPr="004957C6">
        <w:rPr>
          <w:rStyle w:val="a5"/>
          <w:rFonts w:ascii="Times New Roman" w:hAnsi="Times New Roman" w:cs="Times New Roman"/>
          <w:bCs w:val="0"/>
          <w:color w:val="131212"/>
          <w:shd w:val="clear" w:color="auto" w:fill="FFFFFF"/>
        </w:rPr>
        <w:t xml:space="preserve"> те</w:t>
      </w:r>
      <w:r>
        <w:rPr>
          <w:rStyle w:val="a5"/>
          <w:rFonts w:ascii="Times New Roman" w:hAnsi="Times New Roman" w:cs="Times New Roman"/>
          <w:bCs w:val="0"/>
          <w:color w:val="131212"/>
          <w:shd w:val="clear" w:color="auto" w:fill="FFFFFF"/>
        </w:rPr>
        <w:t>рапии у пациентов с ФП после инфаркта миокарда</w:t>
      </w:r>
      <w:r w:rsidRPr="004957C6">
        <w:rPr>
          <w:rStyle w:val="a5"/>
          <w:rFonts w:ascii="Times New Roman" w:hAnsi="Times New Roman" w:cs="Times New Roman"/>
          <w:bCs w:val="0"/>
          <w:color w:val="131212"/>
          <w:shd w:val="clear" w:color="auto" w:fill="FFFFFF"/>
        </w:rPr>
        <w:t>: исследование реальной практики</w:t>
      </w:r>
    </w:p>
    <w:p w:rsidR="004957C6" w:rsidRPr="004957C6" w:rsidRDefault="004957C6" w:rsidP="004957C6">
      <w:pPr>
        <w:spacing w:line="360" w:lineRule="auto"/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</w:pPr>
      <w:r>
        <w:rPr>
          <w:rStyle w:val="a5"/>
          <w:rFonts w:ascii="Times New Roman" w:hAnsi="Times New Roman" w:cs="Times New Roman"/>
          <w:bCs w:val="0"/>
          <w:color w:val="131212"/>
          <w:shd w:val="clear" w:color="auto" w:fill="FFFFFF"/>
        </w:rPr>
        <w:tab/>
      </w:r>
      <w:r w:rsidRPr="004957C6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Тройная </w:t>
      </w:r>
      <w:proofErr w:type="spellStart"/>
      <w:r w:rsidRPr="004957C6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антитромботическая</w:t>
      </w:r>
      <w:proofErr w:type="spellEnd"/>
      <w:r w:rsidRPr="004957C6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терапия (ТАТ), включающая пероральный анти</w:t>
      </w:r>
      <w:r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коагулянт прямого действия</w:t>
      </w:r>
      <w:r w:rsidRPr="004957C6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, аспирин и ингибитор P2Y12, рекомендована пациентам с фибрилляцией предсердий (ФП), подвергающимся </w:t>
      </w:r>
      <w:proofErr w:type="spellStart"/>
      <w:r w:rsidRPr="004957C6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чрескожному</w:t>
      </w:r>
      <w:proofErr w:type="spellEnd"/>
      <w:r w:rsidRPr="004957C6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коронарному вмешательству (ЧКВ) по поводу острого инфаркта миокарда (ОИМ): продолжительностью 1 неделя у пациентов низкого риска и до 1 месяца — высокого риска. </w:t>
      </w:r>
      <w:proofErr w:type="spellStart"/>
      <w:r w:rsidRPr="004957C6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Клопидогрел</w:t>
      </w:r>
      <w:proofErr w:type="spellEnd"/>
      <w:r w:rsidRPr="004957C6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является наиболее часто используемым ингибитором P2Y12, однако роль </w:t>
      </w:r>
      <w:proofErr w:type="spellStart"/>
      <w:r w:rsidRPr="004957C6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тикагрелора</w:t>
      </w:r>
      <w:proofErr w:type="spellEnd"/>
      <w:r w:rsidRPr="004957C6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в составе ТАТ остаётся неясной. Цель исследования — сравнить исходы, связанные с кровотечениями и тромбоэмболическими событиями, при применении </w:t>
      </w:r>
      <w:proofErr w:type="spellStart"/>
      <w:r w:rsidRPr="004957C6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тикагрелора</w:t>
      </w:r>
      <w:proofErr w:type="spellEnd"/>
      <w:r w:rsidRPr="004957C6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и </w:t>
      </w:r>
      <w:proofErr w:type="spellStart"/>
      <w:r w:rsidRPr="004957C6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клопидогрела</w:t>
      </w:r>
      <w:proofErr w:type="spellEnd"/>
      <w:r w:rsidRPr="004957C6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в рамках ТАТ.</w:t>
      </w:r>
    </w:p>
    <w:p w:rsidR="004957C6" w:rsidRPr="004957C6" w:rsidRDefault="004957C6" w:rsidP="004957C6">
      <w:pPr>
        <w:spacing w:line="360" w:lineRule="auto"/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</w:pPr>
    </w:p>
    <w:p w:rsidR="004957C6" w:rsidRPr="004957C6" w:rsidRDefault="004957C6" w:rsidP="004957C6">
      <w:pPr>
        <w:spacing w:line="360" w:lineRule="auto"/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</w:pPr>
      <w:r w:rsidRPr="004957C6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lastRenderedPageBreak/>
        <w:t xml:space="preserve">С использованием платформы </w:t>
      </w:r>
      <w:proofErr w:type="spellStart"/>
      <w:r w:rsidRPr="004957C6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TriNetX</w:t>
      </w:r>
      <w:proofErr w:type="spellEnd"/>
      <w:r w:rsidRPr="004957C6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были идентифицированы взрослые пациенты с ФП/трепетанием предсердий, получавшие </w:t>
      </w:r>
      <w:r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ПОАК</w:t>
      </w:r>
      <w:r w:rsidRPr="004957C6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, которым было выполнено ЧКВ по поводу ОИМ (данные до августа 2025 года). Пациенты разделены на группы в зависимости от приёма </w:t>
      </w:r>
      <w:proofErr w:type="spellStart"/>
      <w:r w:rsidRPr="004957C6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клопидогрела</w:t>
      </w:r>
      <w:proofErr w:type="spellEnd"/>
      <w:r w:rsidRPr="004957C6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или </w:t>
      </w:r>
      <w:proofErr w:type="spellStart"/>
      <w:r w:rsidRPr="004957C6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тикагрелора</w:t>
      </w:r>
      <w:proofErr w:type="spellEnd"/>
      <w:r w:rsidRPr="004957C6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после ЧКВ</w:t>
      </w:r>
      <w:r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дополнительно к аспирину и ПОАК</w:t>
      </w:r>
      <w:r w:rsidRPr="004957C6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. Проведено попарное сопоставление методом «склонность к лечению» 1:1 по демографическим характеристикам, </w:t>
      </w:r>
      <w:proofErr w:type="spellStart"/>
      <w:r w:rsidRPr="004957C6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коморбидности</w:t>
      </w:r>
      <w:proofErr w:type="spellEnd"/>
      <w:r w:rsidRPr="004957C6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и сердечно-сосудистой терапии (SMD &lt;0,1). Первичные </w:t>
      </w:r>
      <w:r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конечные точки</w:t>
      </w:r>
      <w:r w:rsidRPr="004957C6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: большое кровотечение (внутричерепное кровоизлияние или кровотечение из верхних отделов ЖКТ, требующее эндоскопического вмешательства или гемотрансфузии), тромбоэмболия (инсульт, ТИА, системная артериальная эмболия) и инфаркт миокарда с подъёмом сегмента ST (STEMI) в сроки 1 неделя и 1 месяц. </w:t>
      </w:r>
    </w:p>
    <w:p w:rsidR="004957C6" w:rsidRPr="004957C6" w:rsidRDefault="004957C6" w:rsidP="004957C6">
      <w:pPr>
        <w:spacing w:line="360" w:lineRule="auto"/>
        <w:ind w:firstLine="708"/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</w:pPr>
      <w:r w:rsidRPr="004957C6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В анализ включено 1 947 сопоставленных пациентов (средний возраст 68 лет; 64% мужчины). Через 1 неделю</w:t>
      </w:r>
      <w:r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риски большого кровотечения (ОР 0,71; 95% ДИ 0,39–1,27), тромбоэмболии (ОР 1,35; 95% ДИ 0,59–3,07) и STEMI (ОР 0,81; 95% ДИ</w:t>
      </w:r>
      <w:r w:rsidRPr="004957C6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0,44–1,50) были сопоставимы между группами. Аналогично, через 1 месяц</w:t>
      </w:r>
      <w:r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риски большого кровотечения (ОР 0,89; 95% ДИ 0,59–1,37), тромбоэмболии (ОР 1,04; 95% ДИ 0,59–1,70) и STEMI (ОР 0,67; 95% ДИ</w:t>
      </w:r>
      <w:r w:rsidRPr="004957C6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0,41–1,10) также не различались.</w:t>
      </w:r>
    </w:p>
    <w:p w:rsidR="004957C6" w:rsidRDefault="004957C6" w:rsidP="004957C6">
      <w:pPr>
        <w:spacing w:line="360" w:lineRule="auto"/>
        <w:ind w:firstLine="708"/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</w:pPr>
      <w:r w:rsidRPr="004957C6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В представленном анализе реальной клинической практики применение </w:t>
      </w:r>
      <w:proofErr w:type="spellStart"/>
      <w:r w:rsidRPr="004957C6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тикагрелора</w:t>
      </w:r>
      <w:proofErr w:type="spellEnd"/>
      <w:r w:rsidRPr="004957C6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в составе тройной </w:t>
      </w:r>
      <w:proofErr w:type="spellStart"/>
      <w:r w:rsidRPr="004957C6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антитромботической</w:t>
      </w:r>
      <w:proofErr w:type="spellEnd"/>
      <w:r w:rsidRPr="004957C6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терапии после ЧКВ по поводу ОИМ у пациентов с ФП/трепетанием предсердий ассоциировалось с исходами, сопоставимыми с таковыми </w:t>
      </w:r>
      <w:r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при использовании </w:t>
      </w:r>
      <w:proofErr w:type="spellStart"/>
      <w:r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клопидогрела</w:t>
      </w:r>
      <w:proofErr w:type="spellEnd"/>
      <w:r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.</w:t>
      </w:r>
    </w:p>
    <w:p w:rsidR="004957C6" w:rsidRDefault="004957C6" w:rsidP="004957C6">
      <w:pPr>
        <w:spacing w:line="360" w:lineRule="auto"/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</w:pPr>
      <w:hyperlink r:id="rId6" w:history="1">
        <w:r w:rsidRPr="00A85694">
          <w:rPr>
            <w:rStyle w:val="a3"/>
            <w:rFonts w:ascii="Times New Roman" w:hAnsi="Times New Roman" w:cs="Times New Roman"/>
            <w:shd w:val="clear" w:color="auto" w:fill="FFFFFF"/>
          </w:rPr>
          <w:t>https://www.jacc.org/doi/10.1016/j.jacc.2026.02.1049</w:t>
        </w:r>
      </w:hyperlink>
    </w:p>
    <w:p w:rsidR="004957C6" w:rsidRDefault="004957C6" w:rsidP="004957C6">
      <w:pPr>
        <w:spacing w:line="360" w:lineRule="auto"/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</w:pPr>
    </w:p>
    <w:p w:rsidR="00A82DCE" w:rsidRPr="009A1BF4" w:rsidRDefault="009A1BF4" w:rsidP="00A82DCE">
      <w:pPr>
        <w:spacing w:line="360" w:lineRule="auto"/>
        <w:ind w:firstLine="708"/>
        <w:rPr>
          <w:rStyle w:val="a5"/>
          <w:rFonts w:ascii="Times New Roman" w:hAnsi="Times New Roman" w:cs="Times New Roman"/>
          <w:bCs w:val="0"/>
          <w:color w:val="131212"/>
          <w:shd w:val="clear" w:color="auto" w:fill="FFFFFF"/>
        </w:rPr>
      </w:pPr>
      <w:proofErr w:type="spellStart"/>
      <w:r w:rsidRPr="009A1BF4">
        <w:rPr>
          <w:rStyle w:val="a5"/>
          <w:rFonts w:ascii="Times New Roman" w:hAnsi="Times New Roman" w:cs="Times New Roman"/>
          <w:bCs w:val="0"/>
          <w:color w:val="131212"/>
          <w:shd w:val="clear" w:color="auto" w:fill="FFFFFF"/>
        </w:rPr>
        <w:t>Прасугрел</w:t>
      </w:r>
      <w:proofErr w:type="spellEnd"/>
      <w:r w:rsidRPr="009A1BF4">
        <w:rPr>
          <w:rStyle w:val="a5"/>
          <w:rFonts w:ascii="Times New Roman" w:hAnsi="Times New Roman" w:cs="Times New Roman"/>
          <w:bCs w:val="0"/>
          <w:color w:val="131212"/>
          <w:shd w:val="clear" w:color="auto" w:fill="FFFFFF"/>
        </w:rPr>
        <w:t xml:space="preserve"> против </w:t>
      </w:r>
      <w:proofErr w:type="spellStart"/>
      <w:r w:rsidRPr="009A1BF4">
        <w:rPr>
          <w:rStyle w:val="a5"/>
          <w:rFonts w:ascii="Times New Roman" w:hAnsi="Times New Roman" w:cs="Times New Roman"/>
          <w:bCs w:val="0"/>
          <w:color w:val="131212"/>
          <w:shd w:val="clear" w:color="auto" w:fill="FFFFFF"/>
        </w:rPr>
        <w:t>тикагрелора</w:t>
      </w:r>
      <w:proofErr w:type="spellEnd"/>
      <w:r w:rsidRPr="009A1BF4">
        <w:rPr>
          <w:rStyle w:val="a5"/>
          <w:rFonts w:ascii="Times New Roman" w:hAnsi="Times New Roman" w:cs="Times New Roman"/>
          <w:bCs w:val="0"/>
          <w:color w:val="131212"/>
          <w:shd w:val="clear" w:color="auto" w:fill="FFFFFF"/>
        </w:rPr>
        <w:t xml:space="preserve"> после ЧКВ по поводу ОКС: исследование реальной клинической практики</w:t>
      </w:r>
    </w:p>
    <w:p w:rsidR="00A82DCE" w:rsidRPr="00A82DCE" w:rsidRDefault="00A82DCE" w:rsidP="00A82DCE">
      <w:pPr>
        <w:spacing w:line="360" w:lineRule="auto"/>
        <w:ind w:firstLine="708"/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</w:pPr>
      <w:r w:rsidRPr="00A82DCE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Оптимальный режим двойной </w:t>
      </w:r>
      <w:proofErr w:type="spellStart"/>
      <w:r w:rsidRPr="00A82DCE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антитромбоцитарной</w:t>
      </w:r>
      <w:proofErr w:type="spellEnd"/>
      <w:r w:rsidRPr="00A82DCE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терапии после </w:t>
      </w:r>
      <w:proofErr w:type="spellStart"/>
      <w:r w:rsidRPr="00A82DCE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чрескожного</w:t>
      </w:r>
      <w:proofErr w:type="spellEnd"/>
      <w:r w:rsidRPr="00A82DCE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коронарного вмешательства (ЧКВ) по поводу острого инфаркта миокарда остаётся предметом дискуссий, особенно в отношении выбора ингибитора P2Y12 — </w:t>
      </w:r>
      <w:proofErr w:type="spellStart"/>
      <w:r w:rsidRPr="00A82DCE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прасугрела</w:t>
      </w:r>
      <w:proofErr w:type="spellEnd"/>
      <w:r w:rsidRPr="00A82DCE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или </w:t>
      </w:r>
      <w:proofErr w:type="spellStart"/>
      <w:r w:rsidRPr="00A82DCE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тикагрелора</w:t>
      </w:r>
      <w:proofErr w:type="spellEnd"/>
      <w:r w:rsidRPr="00A82DCE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. Относительные риски неблагоприятных клинических исходов при применении </w:t>
      </w:r>
      <w:proofErr w:type="spellStart"/>
      <w:r w:rsidRPr="00A82DCE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прасугрела</w:t>
      </w:r>
      <w:proofErr w:type="spellEnd"/>
      <w:r w:rsidRPr="00A82DCE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по сравнению с </w:t>
      </w:r>
      <w:proofErr w:type="spellStart"/>
      <w:r w:rsidRPr="00A82DCE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тикагрелором</w:t>
      </w:r>
      <w:proofErr w:type="spellEnd"/>
      <w:r w:rsidRPr="00A82DCE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остаются неопределёнными. В связи с этим в реальном анализе большой общенациональной репрезентативной когорты проведено сравнение исходов между </w:t>
      </w:r>
      <w:proofErr w:type="spellStart"/>
      <w:r w:rsidRPr="00A82DCE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прасугрелом</w:t>
      </w:r>
      <w:proofErr w:type="spellEnd"/>
      <w:r w:rsidRPr="00A82DCE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и </w:t>
      </w:r>
      <w:proofErr w:type="spellStart"/>
      <w:r w:rsidRPr="00A82DCE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тикагрелором</w:t>
      </w:r>
      <w:proofErr w:type="spellEnd"/>
      <w:r w:rsidRPr="00A82DCE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.</w:t>
      </w:r>
    </w:p>
    <w:p w:rsidR="009A1BF4" w:rsidRDefault="00A82DCE" w:rsidP="00A82DCE">
      <w:pPr>
        <w:spacing w:line="360" w:lineRule="auto"/>
        <w:ind w:firstLine="708"/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</w:pPr>
      <w:r w:rsidRPr="00A82DCE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С использованием данных сети </w:t>
      </w:r>
      <w:proofErr w:type="spellStart"/>
      <w:r w:rsidRPr="00A82DCE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TriNetX</w:t>
      </w:r>
      <w:proofErr w:type="spellEnd"/>
      <w:r w:rsidRPr="00A82DCE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(2015–2025 гг.) были идентифицированы пациенты в возрасте ≥18 лет, перенёсшие ЧКВ, которые затем были разделены на две когорты в зависимости от назначаемого после процедуры ингибитора P2Y12: </w:t>
      </w:r>
      <w:proofErr w:type="spellStart"/>
      <w:r w:rsidRPr="00A82DCE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прасугрел</w:t>
      </w:r>
      <w:proofErr w:type="spellEnd"/>
      <w:r w:rsidRPr="00A82DCE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</w:t>
      </w:r>
      <w:r w:rsidRPr="00A82DCE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lastRenderedPageBreak/>
        <w:t xml:space="preserve">или </w:t>
      </w:r>
      <w:proofErr w:type="spellStart"/>
      <w:r w:rsidRPr="00A82DCE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тикагрелор</w:t>
      </w:r>
      <w:proofErr w:type="spellEnd"/>
      <w:r w:rsidRPr="00A82DCE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. Когорты были сопоставлены методом «склонность к лечению» в соотношении 1:1 по исходным переменным, включая демографические характеристики, </w:t>
      </w:r>
      <w:proofErr w:type="spellStart"/>
      <w:r w:rsidRPr="00A82DCE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коморбидность</w:t>
      </w:r>
      <w:proofErr w:type="spellEnd"/>
      <w:r w:rsidRPr="00A82DCE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, принимаемые препараты и лабораторные данные. Первичным исходом была 12-месячная смертность от всех причин. </w:t>
      </w:r>
    </w:p>
    <w:p w:rsidR="00A82DCE" w:rsidRPr="00A82DCE" w:rsidRDefault="00A82DCE" w:rsidP="00A82DCE">
      <w:pPr>
        <w:spacing w:line="360" w:lineRule="auto"/>
        <w:ind w:firstLine="708"/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</w:pPr>
      <w:r w:rsidRPr="00A82DCE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После сопоставления в каждой когорте оказалось по 15 291 пациенту. Средний возраст составил 65,6 ± 11,1 года, 77% составляли мужчины, 64,5% — лица европеоидной расы. У пациентов, получавших </w:t>
      </w:r>
      <w:proofErr w:type="spellStart"/>
      <w:r w:rsidRPr="00A82DCE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прасугрел</w:t>
      </w:r>
      <w:proofErr w:type="spellEnd"/>
      <w:r w:rsidRPr="00A82DCE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, наблюдался более низкий риск смерти от всех причин </w:t>
      </w:r>
      <w:r w:rsidR="009A1BF4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по сравнению с </w:t>
      </w:r>
      <w:proofErr w:type="spellStart"/>
      <w:r w:rsidR="009A1BF4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тикагрелором</w:t>
      </w:r>
      <w:proofErr w:type="spellEnd"/>
      <w:r w:rsidR="009A1BF4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(ОР 0,75; 95% ДИ</w:t>
      </w:r>
      <w:r w:rsidRPr="00A82DCE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0,62–0,91; p = 0,003). Кроме того, </w:t>
      </w:r>
      <w:proofErr w:type="spellStart"/>
      <w:r w:rsidRPr="00A82DCE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прасугрел</w:t>
      </w:r>
      <w:proofErr w:type="spellEnd"/>
      <w:r w:rsidRPr="00A82DCE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ассоциировался с более низкими рисками п</w:t>
      </w:r>
      <w:r w:rsidR="009A1BF4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овторного инфаркта миокарда (ОР</w:t>
      </w:r>
      <w:r w:rsidRPr="00A82DCE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0,87; 0,84–0,90; p </w:t>
      </w:r>
      <w:proofErr w:type="gramStart"/>
      <w:r w:rsidRPr="00A82DCE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&lt;</w:t>
      </w:r>
      <w:r w:rsidR="009A1BF4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0</w:t>
      </w:r>
      <w:proofErr w:type="gramEnd"/>
      <w:r w:rsidR="009A1BF4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,001), </w:t>
      </w:r>
      <w:proofErr w:type="spellStart"/>
      <w:r w:rsidR="009A1BF4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рестеноза</w:t>
      </w:r>
      <w:proofErr w:type="spellEnd"/>
      <w:r w:rsidR="009A1BF4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в </w:t>
      </w:r>
      <w:proofErr w:type="spellStart"/>
      <w:r w:rsidR="009A1BF4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стенте</w:t>
      </w:r>
      <w:proofErr w:type="spellEnd"/>
      <w:r w:rsidR="009A1BF4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(ОР</w:t>
      </w:r>
      <w:r w:rsidRPr="00A82DCE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0,77; 0,64–0,95; p = 0,015) и основных неблагоприятных сердечно-сосудистых и</w:t>
      </w:r>
      <w:r w:rsidR="009A1BF4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цереброваскулярных событий (ОР</w:t>
      </w:r>
      <w:r w:rsidRPr="00A82DCE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0,86; 0,84–0,89; p &lt; 0,001) по сравнению с </w:t>
      </w:r>
      <w:proofErr w:type="spellStart"/>
      <w:r w:rsidRPr="00A82DCE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тикагрелором</w:t>
      </w:r>
      <w:proofErr w:type="spellEnd"/>
      <w:r w:rsidRPr="00A82DCE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. При этом риски ишемического инсульта и больших кровотечений были сопоставимы между группами.</w:t>
      </w:r>
    </w:p>
    <w:p w:rsidR="00A82DCE" w:rsidRDefault="00A82DCE" w:rsidP="00A82DCE">
      <w:pPr>
        <w:spacing w:line="360" w:lineRule="auto"/>
        <w:ind w:firstLine="708"/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</w:pPr>
      <w:r w:rsidRPr="00A82DCE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У пациентов после ЧКВ применение </w:t>
      </w:r>
      <w:proofErr w:type="spellStart"/>
      <w:r w:rsidRPr="00A82DCE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прасугрела</w:t>
      </w:r>
      <w:proofErr w:type="spellEnd"/>
      <w:r w:rsidRPr="00A82DCE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ассоциируется со значимо более низким риском неблагоприятных клинических событий по сравнению с </w:t>
      </w:r>
      <w:proofErr w:type="spellStart"/>
      <w:r w:rsidRPr="00A82DCE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тикагрелором</w:t>
      </w:r>
      <w:proofErr w:type="spellEnd"/>
      <w:r w:rsidRPr="00A82DCE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. Снижение частоты ишемических событий на фоне </w:t>
      </w:r>
      <w:proofErr w:type="spellStart"/>
      <w:r w:rsidRPr="00A82DCE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прасугрела</w:t>
      </w:r>
      <w:proofErr w:type="spellEnd"/>
      <w:r w:rsidRPr="00A82DCE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не сопровождается повышением риска кровотечений.</w:t>
      </w:r>
    </w:p>
    <w:p w:rsidR="009A1BF4" w:rsidRDefault="009A1BF4" w:rsidP="009A1BF4">
      <w:pPr>
        <w:spacing w:line="360" w:lineRule="auto"/>
        <w:ind w:firstLine="708"/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</w:pPr>
      <w:hyperlink r:id="rId7" w:history="1">
        <w:r w:rsidRPr="00A85694">
          <w:rPr>
            <w:rStyle w:val="a3"/>
            <w:rFonts w:ascii="Times New Roman" w:hAnsi="Times New Roman" w:cs="Times New Roman"/>
            <w:shd w:val="clear" w:color="auto" w:fill="FFFFFF"/>
          </w:rPr>
          <w:t>https://www.jacc.org/doi/10.1016/j.jacc.2026.02.1280</w:t>
        </w:r>
      </w:hyperlink>
    </w:p>
    <w:p w:rsidR="00A82DCE" w:rsidRPr="00871C2F" w:rsidRDefault="00A82DCE" w:rsidP="004957C6">
      <w:pPr>
        <w:spacing w:line="360" w:lineRule="auto"/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</w:pPr>
      <w:bookmarkStart w:id="0" w:name="_GoBack"/>
      <w:bookmarkEnd w:id="0"/>
    </w:p>
    <w:p w:rsidR="00C656DC" w:rsidRPr="00871C2F" w:rsidRDefault="00C656DC" w:rsidP="00C656DC">
      <w:pPr>
        <w:spacing w:line="360" w:lineRule="auto"/>
        <w:ind w:firstLine="708"/>
        <w:rPr>
          <w:rFonts w:ascii="Times New Roman" w:hAnsi="Times New Roman" w:cs="Times New Roman"/>
        </w:rPr>
      </w:pPr>
      <w:r w:rsidRPr="00871C2F">
        <w:rPr>
          <w:rFonts w:ascii="Times New Roman" w:hAnsi="Times New Roman" w:cs="Times New Roman"/>
          <w:b/>
          <w:bCs/>
          <w:lang w:val="en-US"/>
        </w:rPr>
        <w:t>CHAMPION</w:t>
      </w:r>
      <w:r w:rsidRPr="00871C2F">
        <w:rPr>
          <w:rFonts w:ascii="Times New Roman" w:hAnsi="Times New Roman" w:cs="Times New Roman"/>
          <w:b/>
          <w:bCs/>
        </w:rPr>
        <w:t xml:space="preserve"> </w:t>
      </w:r>
      <w:r w:rsidRPr="00871C2F">
        <w:rPr>
          <w:rFonts w:ascii="Times New Roman" w:hAnsi="Times New Roman" w:cs="Times New Roman"/>
          <w:b/>
          <w:bCs/>
          <w:lang w:val="en-US"/>
        </w:rPr>
        <w:t>AF</w:t>
      </w:r>
      <w:r w:rsidRPr="00871C2F">
        <w:rPr>
          <w:rFonts w:ascii="Times New Roman" w:hAnsi="Times New Roman" w:cs="Times New Roman"/>
          <w:b/>
          <w:bCs/>
        </w:rPr>
        <w:t xml:space="preserve">: </w:t>
      </w:r>
      <w:proofErr w:type="spellStart"/>
      <w:r w:rsidRPr="00871C2F">
        <w:rPr>
          <w:rFonts w:ascii="Times New Roman" w:hAnsi="Times New Roman" w:cs="Times New Roman"/>
          <w:b/>
          <w:bCs/>
        </w:rPr>
        <w:t>окклюдер</w:t>
      </w:r>
      <w:proofErr w:type="spellEnd"/>
      <w:r w:rsidRPr="00871C2F">
        <w:rPr>
          <w:rFonts w:ascii="Times New Roman" w:hAnsi="Times New Roman" w:cs="Times New Roman"/>
          <w:b/>
          <w:bCs/>
        </w:rPr>
        <w:t xml:space="preserve"> или ПОАК у пациента с фибрилляцией предсердий </w:t>
      </w:r>
    </w:p>
    <w:p w:rsidR="00C656DC" w:rsidRPr="00871C2F" w:rsidRDefault="00C656DC" w:rsidP="00C656DC">
      <w:pPr>
        <w:spacing w:line="360" w:lineRule="auto"/>
        <w:ind w:firstLine="708"/>
        <w:rPr>
          <w:rFonts w:ascii="Times New Roman" w:hAnsi="Times New Roman" w:cs="Times New Roman"/>
        </w:rPr>
      </w:pPr>
      <w:r w:rsidRPr="00871C2F">
        <w:rPr>
          <w:rFonts w:ascii="Times New Roman" w:hAnsi="Times New Roman" w:cs="Times New Roman"/>
        </w:rPr>
        <w:t xml:space="preserve">У пациентов с фибрилляцией предсердий применение пероральной </w:t>
      </w:r>
      <w:proofErr w:type="spellStart"/>
      <w:r w:rsidRPr="00871C2F">
        <w:rPr>
          <w:rFonts w:ascii="Times New Roman" w:hAnsi="Times New Roman" w:cs="Times New Roman"/>
        </w:rPr>
        <w:t>антикоагулянтной</w:t>
      </w:r>
      <w:proofErr w:type="spellEnd"/>
      <w:r w:rsidRPr="00871C2F">
        <w:rPr>
          <w:rFonts w:ascii="Times New Roman" w:hAnsi="Times New Roman" w:cs="Times New Roman"/>
        </w:rPr>
        <w:t xml:space="preserve"> терапии с целью профилактики инсульта сопряжено с риском кровотечений. Окклюзия ушка левого предсердия рассматривается в качестве метода лечения для пациентов, которым противопоказана длительная </w:t>
      </w:r>
      <w:proofErr w:type="spellStart"/>
      <w:r w:rsidRPr="00871C2F">
        <w:rPr>
          <w:rFonts w:ascii="Times New Roman" w:hAnsi="Times New Roman" w:cs="Times New Roman"/>
        </w:rPr>
        <w:t>антикоагулянтная</w:t>
      </w:r>
      <w:proofErr w:type="spellEnd"/>
      <w:r w:rsidRPr="00871C2F">
        <w:rPr>
          <w:rFonts w:ascii="Times New Roman" w:hAnsi="Times New Roman" w:cs="Times New Roman"/>
        </w:rPr>
        <w:t xml:space="preserve"> терапия, однако роль данной процедуры у пациентов, являющихся подходящими кандидатами для приема антикоагулянтов, на сегодняшний день не установлена.</w:t>
      </w:r>
    </w:p>
    <w:p w:rsidR="00C656DC" w:rsidRPr="00871C2F" w:rsidRDefault="00C656DC" w:rsidP="00C656DC">
      <w:pPr>
        <w:spacing w:line="360" w:lineRule="auto"/>
        <w:rPr>
          <w:rFonts w:ascii="Times New Roman" w:hAnsi="Times New Roman" w:cs="Times New Roman"/>
        </w:rPr>
      </w:pPr>
      <w:r w:rsidRPr="00871C2F">
        <w:rPr>
          <w:rFonts w:ascii="Times New Roman" w:hAnsi="Times New Roman" w:cs="Times New Roman"/>
        </w:rPr>
        <w:t xml:space="preserve">На научной сессии АСС 2026 доложены результаты </w:t>
      </w:r>
      <w:proofErr w:type="spellStart"/>
      <w:r w:rsidRPr="00871C2F">
        <w:rPr>
          <w:rFonts w:ascii="Times New Roman" w:hAnsi="Times New Roman" w:cs="Times New Roman"/>
        </w:rPr>
        <w:t>проспективного</w:t>
      </w:r>
      <w:proofErr w:type="spellEnd"/>
      <w:r w:rsidRPr="00871C2F">
        <w:rPr>
          <w:rFonts w:ascii="Times New Roman" w:hAnsi="Times New Roman" w:cs="Times New Roman"/>
        </w:rPr>
        <w:t xml:space="preserve"> международного </w:t>
      </w:r>
      <w:proofErr w:type="spellStart"/>
      <w:r w:rsidRPr="00871C2F">
        <w:rPr>
          <w:rFonts w:ascii="Times New Roman" w:hAnsi="Times New Roman" w:cs="Times New Roman"/>
        </w:rPr>
        <w:t>рандомизированного</w:t>
      </w:r>
      <w:proofErr w:type="spellEnd"/>
      <w:r w:rsidRPr="00871C2F">
        <w:rPr>
          <w:rFonts w:ascii="Times New Roman" w:hAnsi="Times New Roman" w:cs="Times New Roman"/>
        </w:rPr>
        <w:t xml:space="preserve"> исследования </w:t>
      </w:r>
      <w:r w:rsidRPr="00871C2F">
        <w:rPr>
          <w:rFonts w:ascii="Times New Roman" w:hAnsi="Times New Roman" w:cs="Times New Roman"/>
          <w:lang w:val="en-US"/>
        </w:rPr>
        <w:t>CHAMPION</w:t>
      </w:r>
      <w:r w:rsidRPr="00871C2F">
        <w:rPr>
          <w:rFonts w:ascii="Times New Roman" w:hAnsi="Times New Roman" w:cs="Times New Roman"/>
        </w:rPr>
        <w:t xml:space="preserve"> </w:t>
      </w:r>
      <w:r w:rsidRPr="00871C2F">
        <w:rPr>
          <w:rFonts w:ascii="Times New Roman" w:hAnsi="Times New Roman" w:cs="Times New Roman"/>
          <w:lang w:val="en-US"/>
        </w:rPr>
        <w:t>AF</w:t>
      </w:r>
      <w:r w:rsidRPr="00871C2F">
        <w:rPr>
          <w:rFonts w:ascii="Times New Roman" w:hAnsi="Times New Roman" w:cs="Times New Roman"/>
        </w:rPr>
        <w:t xml:space="preserve">. В исследование включали пациентов с фибрилляцией предсердий, являющихся подходящими кандидатами для </w:t>
      </w:r>
      <w:proofErr w:type="spellStart"/>
      <w:r w:rsidRPr="00871C2F">
        <w:rPr>
          <w:rFonts w:ascii="Times New Roman" w:hAnsi="Times New Roman" w:cs="Times New Roman"/>
        </w:rPr>
        <w:t>антикоагулянтной</w:t>
      </w:r>
      <w:proofErr w:type="spellEnd"/>
      <w:r w:rsidRPr="00871C2F">
        <w:rPr>
          <w:rFonts w:ascii="Times New Roman" w:hAnsi="Times New Roman" w:cs="Times New Roman"/>
        </w:rPr>
        <w:t xml:space="preserve"> терапии. Участников </w:t>
      </w:r>
      <w:proofErr w:type="spellStart"/>
      <w:r w:rsidRPr="00871C2F">
        <w:rPr>
          <w:rFonts w:ascii="Times New Roman" w:hAnsi="Times New Roman" w:cs="Times New Roman"/>
        </w:rPr>
        <w:t>рандомизировали</w:t>
      </w:r>
      <w:proofErr w:type="spellEnd"/>
      <w:r w:rsidRPr="00871C2F">
        <w:rPr>
          <w:rFonts w:ascii="Times New Roman" w:hAnsi="Times New Roman" w:cs="Times New Roman"/>
        </w:rPr>
        <w:t xml:space="preserve"> в соотношении 1:1 в одну из двух групп: группу окклюзии ушка левого предсердия с использованием устройства </w:t>
      </w:r>
      <w:r w:rsidRPr="00871C2F">
        <w:rPr>
          <w:rFonts w:ascii="Times New Roman" w:hAnsi="Times New Roman" w:cs="Times New Roman"/>
          <w:lang w:val="en-US"/>
        </w:rPr>
        <w:t>Watchman</w:t>
      </w:r>
      <w:r w:rsidRPr="00871C2F">
        <w:rPr>
          <w:rFonts w:ascii="Times New Roman" w:hAnsi="Times New Roman" w:cs="Times New Roman"/>
        </w:rPr>
        <w:t xml:space="preserve"> </w:t>
      </w:r>
      <w:r w:rsidRPr="00871C2F">
        <w:rPr>
          <w:rFonts w:ascii="Times New Roman" w:hAnsi="Times New Roman" w:cs="Times New Roman"/>
          <w:lang w:val="en-US"/>
        </w:rPr>
        <w:t>FLX</w:t>
      </w:r>
      <w:r w:rsidRPr="00871C2F">
        <w:rPr>
          <w:rFonts w:ascii="Times New Roman" w:hAnsi="Times New Roman" w:cs="Times New Roman"/>
        </w:rPr>
        <w:t xml:space="preserve"> (группа «устройство») или группу терапии прямыми пероральными антикоагулянтами (ПОАК) (группа «</w:t>
      </w:r>
      <w:proofErr w:type="spellStart"/>
      <w:r w:rsidRPr="00871C2F">
        <w:rPr>
          <w:rFonts w:ascii="Times New Roman" w:hAnsi="Times New Roman" w:cs="Times New Roman"/>
        </w:rPr>
        <w:t>антикоагуляция</w:t>
      </w:r>
      <w:proofErr w:type="spellEnd"/>
      <w:r w:rsidRPr="00871C2F">
        <w:rPr>
          <w:rFonts w:ascii="Times New Roman" w:hAnsi="Times New Roman" w:cs="Times New Roman"/>
        </w:rPr>
        <w:t xml:space="preserve">»). Первичная конечная точка эффективности — комбинированный показатель, включающий смерть от сердечно-сосудистых причин, инсульт или системную эмболию, — оценивалась на предмет не </w:t>
      </w:r>
      <w:r w:rsidRPr="00871C2F">
        <w:rPr>
          <w:rFonts w:ascii="Times New Roman" w:hAnsi="Times New Roman" w:cs="Times New Roman"/>
        </w:rPr>
        <w:lastRenderedPageBreak/>
        <w:t xml:space="preserve">меньшей эффективности (граничное значение не меньшей эффективности: 4,8 процентного пункта) по истечении 3 лет наблюдения. Первичная конечная точка безопасности — кровотечения, не связанные с процедурой вмешательства, — оценивалась на предмет превосходства </w:t>
      </w:r>
      <w:proofErr w:type="spellStart"/>
      <w:r w:rsidRPr="00871C2F">
        <w:rPr>
          <w:rFonts w:ascii="Times New Roman" w:hAnsi="Times New Roman" w:cs="Times New Roman"/>
        </w:rPr>
        <w:t>окклюдера</w:t>
      </w:r>
      <w:proofErr w:type="spellEnd"/>
      <w:r w:rsidRPr="00871C2F">
        <w:rPr>
          <w:rFonts w:ascii="Times New Roman" w:hAnsi="Times New Roman" w:cs="Times New Roman"/>
        </w:rPr>
        <w:t>.</w:t>
      </w:r>
    </w:p>
    <w:p w:rsidR="00C656DC" w:rsidRPr="00871C2F" w:rsidRDefault="00C656DC" w:rsidP="00C656DC">
      <w:pPr>
        <w:spacing w:line="360" w:lineRule="auto"/>
        <w:rPr>
          <w:rFonts w:ascii="Times New Roman" w:hAnsi="Times New Roman" w:cs="Times New Roman"/>
        </w:rPr>
      </w:pPr>
      <w:r w:rsidRPr="00871C2F">
        <w:rPr>
          <w:rFonts w:ascii="Times New Roman" w:hAnsi="Times New Roman" w:cs="Times New Roman"/>
        </w:rPr>
        <w:t>Из 3000 пациентов, прошедших рандомизацию, 1499 были распределены в группу «устройство», а 1501 — в группу «</w:t>
      </w:r>
      <w:proofErr w:type="spellStart"/>
      <w:r w:rsidRPr="00871C2F">
        <w:rPr>
          <w:rFonts w:ascii="Times New Roman" w:hAnsi="Times New Roman" w:cs="Times New Roman"/>
        </w:rPr>
        <w:t>антикоагуляция</w:t>
      </w:r>
      <w:proofErr w:type="spellEnd"/>
      <w:r w:rsidRPr="00871C2F">
        <w:rPr>
          <w:rFonts w:ascii="Times New Roman" w:hAnsi="Times New Roman" w:cs="Times New Roman"/>
        </w:rPr>
        <w:t xml:space="preserve">». Средний возраст пациентов составил 71,7 ± 7,5 лет (SD); 31,9% участников составили женщины, а средний балл по шкале CHA2DS2-VASc — 3,5 ± 1,3. </w:t>
      </w:r>
    </w:p>
    <w:p w:rsidR="00C656DC" w:rsidRPr="00871C2F" w:rsidRDefault="00C656DC" w:rsidP="00C656DC">
      <w:pPr>
        <w:spacing w:line="360" w:lineRule="auto"/>
        <w:rPr>
          <w:rFonts w:ascii="Times New Roman" w:hAnsi="Times New Roman" w:cs="Times New Roman"/>
        </w:rPr>
      </w:pPr>
      <w:r w:rsidRPr="00871C2F">
        <w:rPr>
          <w:rFonts w:ascii="Times New Roman" w:hAnsi="Times New Roman" w:cs="Times New Roman"/>
        </w:rPr>
        <w:t>Спустя 3 года событие, соответствующее первичной конечной точке эффективности, было зарегистрировано у 81 пациента (оценка по Каплану — Майеру: 5,7%) в группе «устройство» и у 65 пациентов (оценка по Каплану — Майеру: 4,8%) в группе «</w:t>
      </w:r>
      <w:proofErr w:type="spellStart"/>
      <w:r w:rsidRPr="00871C2F">
        <w:rPr>
          <w:rFonts w:ascii="Times New Roman" w:hAnsi="Times New Roman" w:cs="Times New Roman"/>
        </w:rPr>
        <w:t>антикоагуляция</w:t>
      </w:r>
      <w:proofErr w:type="spellEnd"/>
      <w:r w:rsidRPr="00871C2F">
        <w:rPr>
          <w:rFonts w:ascii="Times New Roman" w:hAnsi="Times New Roman" w:cs="Times New Roman"/>
        </w:rPr>
        <w:t xml:space="preserve">» (разница: 0,9 процентного пункта; 95% доверительный интервал [ДИ]: от −0,8 до 2,6; P </w:t>
      </w:r>
      <w:proofErr w:type="gramStart"/>
      <w:r w:rsidRPr="00871C2F">
        <w:rPr>
          <w:rFonts w:ascii="Times New Roman" w:hAnsi="Times New Roman" w:cs="Times New Roman"/>
        </w:rPr>
        <w:t>&lt; 0</w:t>
      </w:r>
      <w:proofErr w:type="gramEnd"/>
      <w:r w:rsidRPr="00871C2F">
        <w:rPr>
          <w:rFonts w:ascii="Times New Roman" w:hAnsi="Times New Roman" w:cs="Times New Roman"/>
        </w:rPr>
        <w:t xml:space="preserve">,001 для критерия не меньшей эффективности). Несвязанные с процедурой кровотечения возникли у 154 пациентов (оценка по Каплану — Майеру: 10,9%) в группе применения устройства и у 260 пациентов (оценка по Каплану — Майеру: 19,0%) в группе </w:t>
      </w:r>
      <w:proofErr w:type="spellStart"/>
      <w:r w:rsidRPr="00871C2F">
        <w:rPr>
          <w:rFonts w:ascii="Times New Roman" w:hAnsi="Times New Roman" w:cs="Times New Roman"/>
        </w:rPr>
        <w:t>антикоагулянтной</w:t>
      </w:r>
      <w:proofErr w:type="spellEnd"/>
      <w:r w:rsidRPr="00871C2F">
        <w:rPr>
          <w:rFonts w:ascii="Times New Roman" w:hAnsi="Times New Roman" w:cs="Times New Roman"/>
        </w:rPr>
        <w:t xml:space="preserve"> терапии (отношение рисков: 0,55; 95% ДИ: 0,45–0,67; P </w:t>
      </w:r>
      <w:proofErr w:type="gramStart"/>
      <w:r w:rsidRPr="00871C2F">
        <w:rPr>
          <w:rFonts w:ascii="Times New Roman" w:hAnsi="Times New Roman" w:cs="Times New Roman"/>
        </w:rPr>
        <w:t>&lt; 0</w:t>
      </w:r>
      <w:proofErr w:type="gramEnd"/>
      <w:r w:rsidRPr="00871C2F">
        <w:rPr>
          <w:rFonts w:ascii="Times New Roman" w:hAnsi="Times New Roman" w:cs="Times New Roman"/>
        </w:rPr>
        <w:t xml:space="preserve">,001 в пользу превосходства). Частота больших кровотечений между группами не различалась. </w:t>
      </w:r>
    </w:p>
    <w:p w:rsidR="00C656DC" w:rsidRPr="00871C2F" w:rsidRDefault="00C656DC" w:rsidP="00C656DC">
      <w:pPr>
        <w:spacing w:line="360" w:lineRule="auto"/>
        <w:rPr>
          <w:rFonts w:ascii="Times New Roman" w:hAnsi="Times New Roman" w:cs="Times New Roman"/>
        </w:rPr>
      </w:pPr>
      <w:r w:rsidRPr="00871C2F">
        <w:rPr>
          <w:rFonts w:ascii="Times New Roman" w:hAnsi="Times New Roman" w:cs="Times New Roman"/>
        </w:rPr>
        <w:t xml:space="preserve">Авторы делают вывод, что среди пациентов с фибрилляцией предсердий, являющихся кандидатами на проведение </w:t>
      </w:r>
      <w:proofErr w:type="spellStart"/>
      <w:r w:rsidRPr="00871C2F">
        <w:rPr>
          <w:rFonts w:ascii="Times New Roman" w:hAnsi="Times New Roman" w:cs="Times New Roman"/>
        </w:rPr>
        <w:t>антикоагулянтной</w:t>
      </w:r>
      <w:proofErr w:type="spellEnd"/>
      <w:r w:rsidRPr="00871C2F">
        <w:rPr>
          <w:rFonts w:ascii="Times New Roman" w:hAnsi="Times New Roman" w:cs="Times New Roman"/>
        </w:rPr>
        <w:t xml:space="preserve"> терапии, закрытие ушка левого предсердия с помощью устройства продемонстрировало не меньшую эффективность по сравнению с терапией ПОАК в отношении комбинированной конечной точки (смерть от сердечно-сосудистых причин, инсульт или системная эмболия), а также превосходство над терапией ПОАК в отношении частоты несвязанных с процедурой кровотечений в течение 3 лет наблюдения.</w:t>
      </w:r>
    </w:p>
    <w:p w:rsidR="00C656DC" w:rsidRPr="00871C2F" w:rsidRDefault="00C656DC" w:rsidP="00C656DC">
      <w:pPr>
        <w:spacing w:line="360" w:lineRule="auto"/>
        <w:rPr>
          <w:rFonts w:ascii="Times New Roman" w:hAnsi="Times New Roman" w:cs="Times New Roman"/>
        </w:rPr>
      </w:pPr>
      <w:r w:rsidRPr="00871C2F">
        <w:rPr>
          <w:rFonts w:ascii="Times New Roman" w:hAnsi="Times New Roman" w:cs="Times New Roman"/>
        </w:rPr>
        <w:t>(</w:t>
      </w:r>
      <w:r w:rsidRPr="00871C2F">
        <w:rPr>
          <w:rFonts w:ascii="Times New Roman" w:hAnsi="Times New Roman" w:cs="Times New Roman"/>
          <w:i/>
          <w:iCs/>
        </w:rPr>
        <w:t xml:space="preserve">Примечание переводчика: исследование вызвало активную дискуссию, прежде всего – критику очень лояльных в отношении группы </w:t>
      </w:r>
      <w:r w:rsidRPr="00871C2F">
        <w:rPr>
          <w:rFonts w:ascii="Times New Roman" w:hAnsi="Times New Roman" w:cs="Times New Roman"/>
          <w:i/>
          <w:iCs/>
          <w:lang w:val="en-US"/>
        </w:rPr>
        <w:t>Watchman</w:t>
      </w:r>
      <w:r w:rsidRPr="00871C2F">
        <w:rPr>
          <w:rFonts w:ascii="Times New Roman" w:hAnsi="Times New Roman" w:cs="Times New Roman"/>
          <w:i/>
          <w:iCs/>
        </w:rPr>
        <w:t xml:space="preserve"> критериев </w:t>
      </w:r>
      <w:r w:rsidRPr="00871C2F">
        <w:rPr>
          <w:rFonts w:ascii="Times New Roman" w:hAnsi="Times New Roman" w:cs="Times New Roman"/>
          <w:i/>
          <w:iCs/>
          <w:lang w:val="en-US"/>
        </w:rPr>
        <w:t>non</w:t>
      </w:r>
      <w:r w:rsidRPr="00871C2F">
        <w:rPr>
          <w:rFonts w:ascii="Times New Roman" w:hAnsi="Times New Roman" w:cs="Times New Roman"/>
          <w:i/>
          <w:iCs/>
        </w:rPr>
        <w:t>-</w:t>
      </w:r>
      <w:r w:rsidRPr="00871C2F">
        <w:rPr>
          <w:rFonts w:ascii="Times New Roman" w:hAnsi="Times New Roman" w:cs="Times New Roman"/>
          <w:i/>
          <w:iCs/>
          <w:lang w:val="en-US"/>
        </w:rPr>
        <w:t>inferiority</w:t>
      </w:r>
      <w:r w:rsidRPr="00871C2F">
        <w:rPr>
          <w:rFonts w:ascii="Times New Roman" w:hAnsi="Times New Roman" w:cs="Times New Roman"/>
          <w:i/>
          <w:iCs/>
        </w:rPr>
        <w:t xml:space="preserve"> для смерти и ишемических осложнений. В группе девайса было зарегистрировано 50 инсультов, в группе ПОАК – 33. Исходя из вышесказанного, результаты данного исследования предлагается оценивать весьма осторожно в связи с явной тенденцией к увеличению частоты этих конечных точек в группе окклюзии УЛП</w:t>
      </w:r>
      <w:r w:rsidRPr="00871C2F">
        <w:rPr>
          <w:rFonts w:ascii="Times New Roman" w:hAnsi="Times New Roman" w:cs="Times New Roman"/>
        </w:rPr>
        <w:t xml:space="preserve">). </w:t>
      </w:r>
    </w:p>
    <w:p w:rsidR="00C656DC" w:rsidRPr="00871C2F" w:rsidRDefault="00C656DC" w:rsidP="00C656DC">
      <w:pPr>
        <w:spacing w:line="360" w:lineRule="auto"/>
        <w:rPr>
          <w:rFonts w:ascii="Times New Roman" w:hAnsi="Times New Roman" w:cs="Times New Roman"/>
        </w:rPr>
      </w:pPr>
    </w:p>
    <w:p w:rsidR="00C656DC" w:rsidRDefault="00C656DC" w:rsidP="00C656DC">
      <w:pPr>
        <w:pStyle w:val="a6"/>
        <w:pBdr>
          <w:bottom w:val="single" w:sz="6" w:space="0" w:color="E2E0E1"/>
        </w:pBdr>
        <w:shd w:val="clear" w:color="auto" w:fill="FFFFFF" w:themeFill="background1"/>
        <w:spacing w:before="0" w:beforeAutospacing="0" w:after="0" w:afterAutospacing="0" w:line="360" w:lineRule="auto"/>
        <w:rPr>
          <w:rStyle w:val="a3"/>
          <w:rFonts w:eastAsiaTheme="minorHAnsi"/>
          <w:kern w:val="2"/>
          <w:lang w:eastAsia="en-US"/>
          <w14:ligatures w14:val="standardContextual"/>
        </w:rPr>
      </w:pPr>
      <w:hyperlink r:id="rId8" w:history="1">
        <w:r w:rsidRPr="00871C2F">
          <w:rPr>
            <w:rStyle w:val="a3"/>
            <w:rFonts w:eastAsiaTheme="minorHAnsi"/>
            <w:kern w:val="2"/>
            <w:lang w:val="en-US" w:eastAsia="en-US"/>
            <w14:ligatures w14:val="standardContextual"/>
          </w:rPr>
          <w:t>https</w:t>
        </w:r>
        <w:r w:rsidRPr="00871C2F">
          <w:rPr>
            <w:rStyle w:val="a3"/>
            <w:rFonts w:eastAsiaTheme="minorHAnsi"/>
            <w:kern w:val="2"/>
            <w:lang w:eastAsia="en-US"/>
            <w14:ligatures w14:val="standardContextual"/>
          </w:rPr>
          <w:t>://</w:t>
        </w:r>
        <w:r w:rsidRPr="00871C2F">
          <w:rPr>
            <w:rStyle w:val="a3"/>
            <w:rFonts w:eastAsiaTheme="minorHAnsi"/>
            <w:kern w:val="2"/>
            <w:lang w:val="en-US" w:eastAsia="en-US"/>
            <w14:ligatures w14:val="standardContextual"/>
          </w:rPr>
          <w:t>www</w:t>
        </w:r>
        <w:r w:rsidRPr="00871C2F">
          <w:rPr>
            <w:rStyle w:val="a3"/>
            <w:rFonts w:eastAsiaTheme="minorHAnsi"/>
            <w:kern w:val="2"/>
            <w:lang w:eastAsia="en-US"/>
            <w14:ligatures w14:val="standardContextual"/>
          </w:rPr>
          <w:t>.</w:t>
        </w:r>
        <w:proofErr w:type="spellStart"/>
        <w:r w:rsidRPr="00871C2F">
          <w:rPr>
            <w:rStyle w:val="a3"/>
            <w:rFonts w:eastAsiaTheme="minorHAnsi"/>
            <w:kern w:val="2"/>
            <w:lang w:val="en-US" w:eastAsia="en-US"/>
            <w14:ligatures w14:val="standardContextual"/>
          </w:rPr>
          <w:t>nejm</w:t>
        </w:r>
        <w:proofErr w:type="spellEnd"/>
        <w:r w:rsidRPr="00871C2F">
          <w:rPr>
            <w:rStyle w:val="a3"/>
            <w:rFonts w:eastAsiaTheme="minorHAnsi"/>
            <w:kern w:val="2"/>
            <w:lang w:eastAsia="en-US"/>
            <w14:ligatures w14:val="standardContextual"/>
          </w:rPr>
          <w:t>.</w:t>
        </w:r>
        <w:r w:rsidRPr="00871C2F">
          <w:rPr>
            <w:rStyle w:val="a3"/>
            <w:rFonts w:eastAsiaTheme="minorHAnsi"/>
            <w:kern w:val="2"/>
            <w:lang w:val="en-US" w:eastAsia="en-US"/>
            <w14:ligatures w14:val="standardContextual"/>
          </w:rPr>
          <w:t>org</w:t>
        </w:r>
        <w:r w:rsidRPr="00871C2F">
          <w:rPr>
            <w:rStyle w:val="a3"/>
            <w:rFonts w:eastAsiaTheme="minorHAnsi"/>
            <w:kern w:val="2"/>
            <w:lang w:eastAsia="en-US"/>
            <w14:ligatures w14:val="standardContextual"/>
          </w:rPr>
          <w:t>/</w:t>
        </w:r>
        <w:proofErr w:type="spellStart"/>
        <w:r w:rsidRPr="00871C2F">
          <w:rPr>
            <w:rStyle w:val="a3"/>
            <w:rFonts w:eastAsiaTheme="minorHAnsi"/>
            <w:kern w:val="2"/>
            <w:lang w:val="en-US" w:eastAsia="en-US"/>
            <w14:ligatures w14:val="standardContextual"/>
          </w:rPr>
          <w:t>doi</w:t>
        </w:r>
        <w:proofErr w:type="spellEnd"/>
        <w:r w:rsidRPr="00871C2F">
          <w:rPr>
            <w:rStyle w:val="a3"/>
            <w:rFonts w:eastAsiaTheme="minorHAnsi"/>
            <w:kern w:val="2"/>
            <w:lang w:eastAsia="en-US"/>
            <w14:ligatures w14:val="standardContextual"/>
          </w:rPr>
          <w:t>/</w:t>
        </w:r>
        <w:r w:rsidRPr="00871C2F">
          <w:rPr>
            <w:rStyle w:val="a3"/>
            <w:rFonts w:eastAsiaTheme="minorHAnsi"/>
            <w:kern w:val="2"/>
            <w:lang w:val="en-US" w:eastAsia="en-US"/>
            <w14:ligatures w14:val="standardContextual"/>
          </w:rPr>
          <w:t>full</w:t>
        </w:r>
        <w:r w:rsidRPr="00871C2F">
          <w:rPr>
            <w:rStyle w:val="a3"/>
            <w:rFonts w:eastAsiaTheme="minorHAnsi"/>
            <w:kern w:val="2"/>
            <w:lang w:eastAsia="en-US"/>
            <w14:ligatures w14:val="standardContextual"/>
          </w:rPr>
          <w:t>/10.1056/</w:t>
        </w:r>
        <w:proofErr w:type="spellStart"/>
        <w:r w:rsidRPr="00871C2F">
          <w:rPr>
            <w:rStyle w:val="a3"/>
            <w:rFonts w:eastAsiaTheme="minorHAnsi"/>
            <w:kern w:val="2"/>
            <w:lang w:val="en-US" w:eastAsia="en-US"/>
            <w14:ligatures w14:val="standardContextual"/>
          </w:rPr>
          <w:t>NEJMoa</w:t>
        </w:r>
        <w:proofErr w:type="spellEnd"/>
        <w:r w:rsidRPr="00871C2F">
          <w:rPr>
            <w:rStyle w:val="a3"/>
            <w:rFonts w:eastAsiaTheme="minorHAnsi"/>
            <w:kern w:val="2"/>
            <w:lang w:eastAsia="en-US"/>
            <w14:ligatures w14:val="standardContextual"/>
          </w:rPr>
          <w:t>2517213</w:t>
        </w:r>
      </w:hyperlink>
    </w:p>
    <w:p w:rsidR="003277B8" w:rsidRDefault="003277B8" w:rsidP="00C656DC">
      <w:pPr>
        <w:pStyle w:val="a6"/>
        <w:pBdr>
          <w:bottom w:val="single" w:sz="6" w:space="0" w:color="E2E0E1"/>
        </w:pBdr>
        <w:shd w:val="clear" w:color="auto" w:fill="FFFFFF" w:themeFill="background1"/>
        <w:spacing w:before="0" w:beforeAutospacing="0" w:after="0" w:afterAutospacing="0" w:line="360" w:lineRule="auto"/>
        <w:rPr>
          <w:rStyle w:val="a3"/>
          <w:rFonts w:eastAsiaTheme="minorHAnsi"/>
          <w:kern w:val="2"/>
          <w:lang w:eastAsia="en-US"/>
          <w14:ligatures w14:val="standardContextual"/>
        </w:rPr>
      </w:pPr>
    </w:p>
    <w:p w:rsidR="003277B8" w:rsidRPr="003277B8" w:rsidRDefault="003277B8" w:rsidP="003277B8">
      <w:pPr>
        <w:pStyle w:val="a6"/>
        <w:pBdr>
          <w:bottom w:val="single" w:sz="6" w:space="0" w:color="E2E0E1"/>
        </w:pBdr>
        <w:shd w:val="clear" w:color="auto" w:fill="FFFFFF" w:themeFill="background1"/>
        <w:spacing w:before="0" w:beforeAutospacing="0" w:after="0" w:afterAutospacing="0" w:line="360" w:lineRule="auto"/>
        <w:ind w:firstLine="708"/>
        <w:rPr>
          <w:rFonts w:eastAsiaTheme="minorHAnsi"/>
          <w:b/>
          <w:kern w:val="2"/>
          <w:lang w:eastAsia="en-US"/>
          <w14:ligatures w14:val="standardContextual"/>
        </w:rPr>
      </w:pPr>
      <w:r w:rsidRPr="003277B8">
        <w:rPr>
          <w:rFonts w:eastAsiaTheme="minorHAnsi"/>
          <w:b/>
          <w:kern w:val="2"/>
          <w:lang w:eastAsia="en-US"/>
          <w14:ligatures w14:val="standardContextual"/>
        </w:rPr>
        <w:lastRenderedPageBreak/>
        <w:t>HI-PEITHO</w:t>
      </w:r>
      <w:r w:rsidRPr="003277B8">
        <w:rPr>
          <w:rFonts w:eastAsiaTheme="minorHAnsi"/>
          <w:b/>
          <w:kern w:val="2"/>
          <w:lang w:eastAsia="en-US"/>
          <w14:ligatures w14:val="standardContextual"/>
        </w:rPr>
        <w:t xml:space="preserve">: </w:t>
      </w:r>
      <w:proofErr w:type="spellStart"/>
      <w:r w:rsidRPr="003277B8">
        <w:rPr>
          <w:rFonts w:eastAsiaTheme="minorHAnsi"/>
          <w:b/>
          <w:kern w:val="2"/>
          <w:lang w:eastAsia="en-US"/>
          <w14:ligatures w14:val="standardContextual"/>
        </w:rPr>
        <w:t>к</w:t>
      </w:r>
      <w:r w:rsidRPr="003277B8">
        <w:rPr>
          <w:rFonts w:eastAsiaTheme="minorHAnsi"/>
          <w:b/>
          <w:kern w:val="2"/>
          <w:lang w:eastAsia="en-US"/>
          <w14:ligatures w14:val="standardContextual"/>
        </w:rPr>
        <w:t>атетерный</w:t>
      </w:r>
      <w:proofErr w:type="spellEnd"/>
      <w:r w:rsidRPr="003277B8">
        <w:rPr>
          <w:rFonts w:eastAsiaTheme="minorHAnsi"/>
          <w:b/>
          <w:kern w:val="2"/>
          <w:lang w:eastAsia="en-US"/>
          <w14:ligatures w14:val="standardContextual"/>
        </w:rPr>
        <w:t xml:space="preserve"> </w:t>
      </w:r>
      <w:proofErr w:type="spellStart"/>
      <w:r w:rsidRPr="003277B8">
        <w:rPr>
          <w:rFonts w:eastAsiaTheme="minorHAnsi"/>
          <w:b/>
          <w:kern w:val="2"/>
          <w:lang w:eastAsia="en-US"/>
          <w14:ligatures w14:val="standardContextual"/>
        </w:rPr>
        <w:t>тромболизис</w:t>
      </w:r>
      <w:proofErr w:type="spellEnd"/>
      <w:r w:rsidRPr="003277B8">
        <w:rPr>
          <w:rFonts w:eastAsiaTheme="minorHAnsi"/>
          <w:b/>
          <w:kern w:val="2"/>
          <w:lang w:eastAsia="en-US"/>
          <w14:ligatures w14:val="standardContextual"/>
        </w:rPr>
        <w:t xml:space="preserve"> против антикоагулянтов у пациентов с ТЭЛА</w:t>
      </w:r>
      <w:r>
        <w:rPr>
          <w:rFonts w:eastAsiaTheme="minorHAnsi"/>
          <w:b/>
          <w:kern w:val="2"/>
          <w:lang w:eastAsia="en-US"/>
          <w14:ligatures w14:val="standardContextual"/>
        </w:rPr>
        <w:t xml:space="preserve"> </w:t>
      </w:r>
      <w:r w:rsidRPr="003277B8">
        <w:rPr>
          <w:rFonts w:eastAsiaTheme="minorHAnsi"/>
          <w:b/>
          <w:kern w:val="2"/>
          <w:lang w:eastAsia="en-US"/>
          <w14:ligatures w14:val="standardContextual"/>
        </w:rPr>
        <w:t>промежуточно-высокого риска</w:t>
      </w:r>
    </w:p>
    <w:p w:rsidR="003277B8" w:rsidRPr="003277B8" w:rsidRDefault="003277B8" w:rsidP="003277B8">
      <w:pPr>
        <w:pStyle w:val="a6"/>
        <w:pBdr>
          <w:bottom w:val="single" w:sz="6" w:space="0" w:color="E2E0E1"/>
        </w:pBdr>
        <w:shd w:val="clear" w:color="auto" w:fill="FFFFFF" w:themeFill="background1"/>
        <w:spacing w:before="0" w:beforeAutospacing="0" w:after="0" w:afterAutospacing="0" w:line="360" w:lineRule="auto"/>
        <w:ind w:firstLine="708"/>
        <w:rPr>
          <w:rFonts w:eastAsiaTheme="minorHAnsi"/>
          <w:kern w:val="2"/>
          <w:lang w:eastAsia="en-US"/>
          <w14:ligatures w14:val="standardContextual"/>
        </w:rPr>
      </w:pPr>
      <w:r w:rsidRPr="003277B8">
        <w:rPr>
          <w:rFonts w:eastAsiaTheme="minorHAnsi"/>
          <w:kern w:val="2"/>
          <w:lang w:eastAsia="en-US"/>
          <w14:ligatures w14:val="standardContextual"/>
        </w:rPr>
        <w:t>Так называемые «</w:t>
      </w:r>
      <w:proofErr w:type="spellStart"/>
      <w:r w:rsidRPr="003277B8">
        <w:rPr>
          <w:rFonts w:eastAsiaTheme="minorHAnsi"/>
          <w:kern w:val="2"/>
          <w:lang w:eastAsia="en-US"/>
          <w14:ligatures w14:val="standardContextual"/>
        </w:rPr>
        <w:t>катетерные</w:t>
      </w:r>
      <w:proofErr w:type="spellEnd"/>
      <w:r w:rsidRPr="003277B8">
        <w:rPr>
          <w:rFonts w:eastAsiaTheme="minorHAnsi"/>
          <w:kern w:val="2"/>
          <w:lang w:eastAsia="en-US"/>
          <w14:ligatures w14:val="standardContextual"/>
        </w:rPr>
        <w:t xml:space="preserve"> методики» в лечении ТЭЛА промежуточно-высокого</w:t>
      </w:r>
    </w:p>
    <w:p w:rsidR="003277B8" w:rsidRPr="003277B8" w:rsidRDefault="003277B8" w:rsidP="003277B8">
      <w:pPr>
        <w:pStyle w:val="a6"/>
        <w:pBdr>
          <w:bottom w:val="single" w:sz="6" w:space="0" w:color="E2E0E1"/>
        </w:pBdr>
        <w:shd w:val="clear" w:color="auto" w:fill="FFFFFF" w:themeFill="background1"/>
        <w:spacing w:before="0" w:beforeAutospacing="0" w:after="0" w:afterAutospacing="0" w:line="360" w:lineRule="auto"/>
        <w:rPr>
          <w:rFonts w:eastAsiaTheme="minorHAnsi"/>
          <w:kern w:val="2"/>
          <w:lang w:eastAsia="en-US"/>
          <w14:ligatures w14:val="standardContextual"/>
        </w:rPr>
      </w:pPr>
      <w:proofErr w:type="gramStart"/>
      <w:r w:rsidRPr="003277B8">
        <w:rPr>
          <w:rFonts w:eastAsiaTheme="minorHAnsi"/>
          <w:kern w:val="2"/>
          <w:lang w:eastAsia="en-US"/>
          <w14:ligatures w14:val="standardContextual"/>
        </w:rPr>
        <w:t>риска</w:t>
      </w:r>
      <w:proofErr w:type="gramEnd"/>
      <w:r w:rsidRPr="003277B8">
        <w:rPr>
          <w:rFonts w:eastAsiaTheme="minorHAnsi"/>
          <w:kern w:val="2"/>
          <w:lang w:eastAsia="en-US"/>
          <w14:ligatures w14:val="standardContextual"/>
        </w:rPr>
        <w:t xml:space="preserve"> находятся в последние годы в сфере повышенного интереса, однако внятной</w:t>
      </w:r>
    </w:p>
    <w:p w:rsidR="003277B8" w:rsidRPr="003277B8" w:rsidRDefault="003277B8" w:rsidP="003277B8">
      <w:pPr>
        <w:pStyle w:val="a6"/>
        <w:pBdr>
          <w:bottom w:val="single" w:sz="6" w:space="0" w:color="E2E0E1"/>
        </w:pBdr>
        <w:shd w:val="clear" w:color="auto" w:fill="FFFFFF" w:themeFill="background1"/>
        <w:spacing w:before="0" w:beforeAutospacing="0" w:after="0" w:afterAutospacing="0" w:line="360" w:lineRule="auto"/>
        <w:rPr>
          <w:rFonts w:eastAsiaTheme="minorHAnsi"/>
          <w:kern w:val="2"/>
          <w:lang w:eastAsia="en-US"/>
          <w14:ligatures w14:val="standardContextual"/>
        </w:rPr>
      </w:pPr>
      <w:proofErr w:type="gramStart"/>
      <w:r w:rsidRPr="003277B8">
        <w:rPr>
          <w:rFonts w:eastAsiaTheme="minorHAnsi"/>
          <w:kern w:val="2"/>
          <w:lang w:eastAsia="en-US"/>
          <w14:ligatures w14:val="standardContextual"/>
        </w:rPr>
        <w:t>доказательной</w:t>
      </w:r>
      <w:proofErr w:type="gramEnd"/>
      <w:r w:rsidRPr="003277B8">
        <w:rPr>
          <w:rFonts w:eastAsiaTheme="minorHAnsi"/>
          <w:kern w:val="2"/>
          <w:lang w:eastAsia="en-US"/>
          <w14:ligatures w14:val="standardContextual"/>
        </w:rPr>
        <w:t xml:space="preserve"> базы, полученной в рамках </w:t>
      </w:r>
      <w:proofErr w:type="spellStart"/>
      <w:r w:rsidRPr="003277B8">
        <w:rPr>
          <w:rFonts w:eastAsiaTheme="minorHAnsi"/>
          <w:kern w:val="2"/>
          <w:lang w:eastAsia="en-US"/>
          <w14:ligatures w14:val="standardContextual"/>
        </w:rPr>
        <w:t>рандомизированных</w:t>
      </w:r>
      <w:proofErr w:type="spellEnd"/>
      <w:r w:rsidRPr="003277B8">
        <w:rPr>
          <w:rFonts w:eastAsiaTheme="minorHAnsi"/>
          <w:kern w:val="2"/>
          <w:lang w:eastAsia="en-US"/>
          <w14:ligatures w14:val="standardContextual"/>
        </w:rPr>
        <w:t xml:space="preserve"> исследований, для этого</w:t>
      </w:r>
    </w:p>
    <w:p w:rsidR="003277B8" w:rsidRPr="003277B8" w:rsidRDefault="003277B8" w:rsidP="003277B8">
      <w:pPr>
        <w:pStyle w:val="a6"/>
        <w:pBdr>
          <w:bottom w:val="single" w:sz="6" w:space="0" w:color="E2E0E1"/>
        </w:pBdr>
        <w:shd w:val="clear" w:color="auto" w:fill="FFFFFF" w:themeFill="background1"/>
        <w:spacing w:before="0" w:beforeAutospacing="0" w:after="0" w:afterAutospacing="0" w:line="360" w:lineRule="auto"/>
        <w:rPr>
          <w:rFonts w:eastAsiaTheme="minorHAnsi"/>
          <w:kern w:val="2"/>
          <w:lang w:eastAsia="en-US"/>
          <w14:ligatures w14:val="standardContextual"/>
        </w:rPr>
      </w:pPr>
      <w:proofErr w:type="gramStart"/>
      <w:r w:rsidRPr="003277B8">
        <w:rPr>
          <w:rFonts w:eastAsiaTheme="minorHAnsi"/>
          <w:kern w:val="2"/>
          <w:lang w:eastAsia="en-US"/>
          <w14:ligatures w14:val="standardContextual"/>
        </w:rPr>
        <w:t>типа</w:t>
      </w:r>
      <w:proofErr w:type="gramEnd"/>
      <w:r w:rsidRPr="003277B8">
        <w:rPr>
          <w:rFonts w:eastAsiaTheme="minorHAnsi"/>
          <w:kern w:val="2"/>
          <w:lang w:eastAsia="en-US"/>
          <w14:ligatures w14:val="standardContextual"/>
        </w:rPr>
        <w:t xml:space="preserve"> вмешательств явно недостаточно. В частности, не так много было данных по</w:t>
      </w:r>
    </w:p>
    <w:p w:rsidR="003277B8" w:rsidRPr="003277B8" w:rsidRDefault="003277B8" w:rsidP="003277B8">
      <w:pPr>
        <w:pStyle w:val="a6"/>
        <w:pBdr>
          <w:bottom w:val="single" w:sz="6" w:space="0" w:color="E2E0E1"/>
        </w:pBdr>
        <w:shd w:val="clear" w:color="auto" w:fill="FFFFFF" w:themeFill="background1"/>
        <w:spacing w:before="0" w:beforeAutospacing="0" w:after="0" w:afterAutospacing="0" w:line="360" w:lineRule="auto"/>
        <w:rPr>
          <w:rFonts w:eastAsiaTheme="minorHAnsi"/>
          <w:kern w:val="2"/>
          <w:lang w:eastAsia="en-US"/>
          <w14:ligatures w14:val="standardContextual"/>
        </w:rPr>
      </w:pPr>
      <w:proofErr w:type="gramStart"/>
      <w:r w:rsidRPr="003277B8">
        <w:rPr>
          <w:rFonts w:eastAsiaTheme="minorHAnsi"/>
          <w:kern w:val="2"/>
          <w:lang w:eastAsia="en-US"/>
          <w14:ligatures w14:val="standardContextual"/>
        </w:rPr>
        <w:t>сравнению</w:t>
      </w:r>
      <w:proofErr w:type="gramEnd"/>
      <w:r w:rsidRPr="003277B8">
        <w:rPr>
          <w:rFonts w:eastAsiaTheme="minorHAnsi"/>
          <w:kern w:val="2"/>
          <w:lang w:eastAsia="en-US"/>
          <w14:ligatures w14:val="standardContextual"/>
        </w:rPr>
        <w:t xml:space="preserve"> </w:t>
      </w:r>
      <w:proofErr w:type="spellStart"/>
      <w:r w:rsidRPr="003277B8">
        <w:rPr>
          <w:rFonts w:eastAsiaTheme="minorHAnsi"/>
          <w:kern w:val="2"/>
          <w:lang w:eastAsia="en-US"/>
          <w14:ligatures w14:val="standardContextual"/>
        </w:rPr>
        <w:t>катетерного</w:t>
      </w:r>
      <w:proofErr w:type="spellEnd"/>
      <w:r w:rsidRPr="003277B8">
        <w:rPr>
          <w:rFonts w:eastAsiaTheme="minorHAnsi"/>
          <w:kern w:val="2"/>
          <w:lang w:eastAsia="en-US"/>
          <w14:ligatures w14:val="standardContextual"/>
        </w:rPr>
        <w:t xml:space="preserve"> </w:t>
      </w:r>
      <w:proofErr w:type="spellStart"/>
      <w:r w:rsidRPr="003277B8">
        <w:rPr>
          <w:rFonts w:eastAsiaTheme="minorHAnsi"/>
          <w:kern w:val="2"/>
          <w:lang w:eastAsia="en-US"/>
          <w14:ligatures w14:val="standardContextual"/>
        </w:rPr>
        <w:t>тромболизиса</w:t>
      </w:r>
      <w:proofErr w:type="spellEnd"/>
      <w:r w:rsidRPr="003277B8">
        <w:rPr>
          <w:rFonts w:eastAsiaTheme="minorHAnsi"/>
          <w:kern w:val="2"/>
          <w:lang w:eastAsia="en-US"/>
          <w14:ligatures w14:val="standardContextual"/>
        </w:rPr>
        <w:t xml:space="preserve"> сниженными дозами </w:t>
      </w:r>
      <w:proofErr w:type="spellStart"/>
      <w:r w:rsidRPr="003277B8">
        <w:rPr>
          <w:rFonts w:eastAsiaTheme="minorHAnsi"/>
          <w:kern w:val="2"/>
          <w:lang w:eastAsia="en-US"/>
          <w14:ligatures w14:val="standardContextual"/>
        </w:rPr>
        <w:t>тромболитика</w:t>
      </w:r>
      <w:proofErr w:type="spellEnd"/>
      <w:r w:rsidRPr="003277B8">
        <w:rPr>
          <w:rFonts w:eastAsiaTheme="minorHAnsi"/>
          <w:kern w:val="2"/>
          <w:lang w:eastAsia="en-US"/>
          <w14:ligatures w14:val="standardContextual"/>
        </w:rPr>
        <w:t xml:space="preserve"> в комбинации с</w:t>
      </w:r>
    </w:p>
    <w:p w:rsidR="003277B8" w:rsidRPr="003277B8" w:rsidRDefault="003277B8" w:rsidP="003277B8">
      <w:pPr>
        <w:pStyle w:val="a6"/>
        <w:pBdr>
          <w:bottom w:val="single" w:sz="6" w:space="0" w:color="E2E0E1"/>
        </w:pBdr>
        <w:shd w:val="clear" w:color="auto" w:fill="FFFFFF" w:themeFill="background1"/>
        <w:spacing w:before="0" w:beforeAutospacing="0" w:after="0" w:afterAutospacing="0" w:line="360" w:lineRule="auto"/>
        <w:rPr>
          <w:rFonts w:eastAsiaTheme="minorHAnsi"/>
          <w:kern w:val="2"/>
          <w:lang w:eastAsia="en-US"/>
          <w14:ligatures w14:val="standardContextual"/>
        </w:rPr>
      </w:pPr>
      <w:proofErr w:type="spellStart"/>
      <w:proofErr w:type="gramStart"/>
      <w:r w:rsidRPr="003277B8">
        <w:rPr>
          <w:rFonts w:eastAsiaTheme="minorHAnsi"/>
          <w:kern w:val="2"/>
          <w:lang w:eastAsia="en-US"/>
          <w14:ligatures w14:val="standardContextual"/>
        </w:rPr>
        <w:t>антикоагулянтной</w:t>
      </w:r>
      <w:proofErr w:type="spellEnd"/>
      <w:proofErr w:type="gramEnd"/>
      <w:r w:rsidRPr="003277B8">
        <w:rPr>
          <w:rFonts w:eastAsiaTheme="minorHAnsi"/>
          <w:kern w:val="2"/>
          <w:lang w:eastAsia="en-US"/>
          <w14:ligatures w14:val="standardContextual"/>
        </w:rPr>
        <w:t xml:space="preserve"> терапией с изолированной </w:t>
      </w:r>
      <w:proofErr w:type="spellStart"/>
      <w:r w:rsidRPr="003277B8">
        <w:rPr>
          <w:rFonts w:eastAsiaTheme="minorHAnsi"/>
          <w:kern w:val="2"/>
          <w:lang w:eastAsia="en-US"/>
          <w14:ligatures w14:val="standardContextual"/>
        </w:rPr>
        <w:t>антикоагулянтной</w:t>
      </w:r>
      <w:proofErr w:type="spellEnd"/>
      <w:r w:rsidRPr="003277B8">
        <w:rPr>
          <w:rFonts w:eastAsiaTheme="minorHAnsi"/>
          <w:kern w:val="2"/>
          <w:lang w:eastAsia="en-US"/>
          <w14:ligatures w14:val="standardContextual"/>
        </w:rPr>
        <w:t xml:space="preserve"> терапией у этой категории</w:t>
      </w:r>
    </w:p>
    <w:p w:rsidR="003277B8" w:rsidRPr="003277B8" w:rsidRDefault="003277B8" w:rsidP="003277B8">
      <w:pPr>
        <w:pStyle w:val="a6"/>
        <w:pBdr>
          <w:bottom w:val="single" w:sz="6" w:space="0" w:color="E2E0E1"/>
        </w:pBdr>
        <w:shd w:val="clear" w:color="auto" w:fill="FFFFFF" w:themeFill="background1"/>
        <w:spacing w:before="0" w:beforeAutospacing="0" w:after="0" w:afterAutospacing="0" w:line="360" w:lineRule="auto"/>
        <w:rPr>
          <w:rFonts w:eastAsiaTheme="minorHAnsi"/>
          <w:kern w:val="2"/>
          <w:lang w:eastAsia="en-US"/>
          <w14:ligatures w14:val="standardContextual"/>
        </w:rPr>
      </w:pPr>
      <w:proofErr w:type="gramStart"/>
      <w:r w:rsidRPr="003277B8">
        <w:rPr>
          <w:rFonts w:eastAsiaTheme="minorHAnsi"/>
          <w:kern w:val="2"/>
          <w:lang w:eastAsia="en-US"/>
          <w14:ligatures w14:val="standardContextual"/>
        </w:rPr>
        <w:t>пациентов</w:t>
      </w:r>
      <w:proofErr w:type="gramEnd"/>
      <w:r w:rsidRPr="003277B8">
        <w:rPr>
          <w:rFonts w:eastAsiaTheme="minorHAnsi"/>
          <w:kern w:val="2"/>
          <w:lang w:eastAsia="en-US"/>
          <w14:ligatures w14:val="standardContextual"/>
        </w:rPr>
        <w:t>.</w:t>
      </w:r>
    </w:p>
    <w:p w:rsidR="003277B8" w:rsidRPr="003277B8" w:rsidRDefault="003277B8" w:rsidP="003277B8">
      <w:pPr>
        <w:pStyle w:val="a6"/>
        <w:pBdr>
          <w:bottom w:val="single" w:sz="6" w:space="0" w:color="E2E0E1"/>
        </w:pBdr>
        <w:shd w:val="clear" w:color="auto" w:fill="FFFFFF" w:themeFill="background1"/>
        <w:spacing w:before="0" w:beforeAutospacing="0" w:after="0" w:afterAutospacing="0" w:line="360" w:lineRule="auto"/>
        <w:rPr>
          <w:rFonts w:eastAsiaTheme="minorHAnsi"/>
          <w:kern w:val="2"/>
          <w:lang w:eastAsia="en-US"/>
          <w14:ligatures w14:val="standardContextual"/>
        </w:rPr>
      </w:pPr>
      <w:r w:rsidRPr="003277B8">
        <w:rPr>
          <w:rFonts w:eastAsiaTheme="minorHAnsi"/>
          <w:kern w:val="2"/>
          <w:lang w:eastAsia="en-US"/>
          <w14:ligatures w14:val="standardContextual"/>
        </w:rPr>
        <w:t>На научной сессии АСС 2026 доложены результаты наиболее крупного на сегодня</w:t>
      </w:r>
    </w:p>
    <w:p w:rsidR="003277B8" w:rsidRPr="003277B8" w:rsidRDefault="003277B8" w:rsidP="003277B8">
      <w:pPr>
        <w:pStyle w:val="a6"/>
        <w:pBdr>
          <w:bottom w:val="single" w:sz="6" w:space="0" w:color="E2E0E1"/>
        </w:pBdr>
        <w:shd w:val="clear" w:color="auto" w:fill="FFFFFF" w:themeFill="background1"/>
        <w:spacing w:before="0" w:beforeAutospacing="0" w:after="0" w:afterAutospacing="0" w:line="360" w:lineRule="auto"/>
        <w:rPr>
          <w:rFonts w:eastAsiaTheme="minorHAnsi"/>
          <w:kern w:val="2"/>
          <w:lang w:eastAsia="en-US"/>
          <w14:ligatures w14:val="standardContextual"/>
        </w:rPr>
      </w:pPr>
      <w:proofErr w:type="spellStart"/>
      <w:proofErr w:type="gramStart"/>
      <w:r w:rsidRPr="003277B8">
        <w:rPr>
          <w:rFonts w:eastAsiaTheme="minorHAnsi"/>
          <w:kern w:val="2"/>
          <w:lang w:eastAsia="en-US"/>
          <w14:ligatures w14:val="standardContextual"/>
        </w:rPr>
        <w:t>рандомизированного</w:t>
      </w:r>
      <w:proofErr w:type="spellEnd"/>
      <w:proofErr w:type="gramEnd"/>
      <w:r w:rsidRPr="003277B8">
        <w:rPr>
          <w:rFonts w:eastAsiaTheme="minorHAnsi"/>
          <w:kern w:val="2"/>
          <w:lang w:eastAsia="en-US"/>
          <w14:ligatures w14:val="standardContextual"/>
        </w:rPr>
        <w:t xml:space="preserve"> исследования в данной области – HI-PEITHO. Исследование</w:t>
      </w:r>
    </w:p>
    <w:p w:rsidR="003277B8" w:rsidRPr="003277B8" w:rsidRDefault="003277B8" w:rsidP="003277B8">
      <w:pPr>
        <w:pStyle w:val="a6"/>
        <w:pBdr>
          <w:bottom w:val="single" w:sz="6" w:space="0" w:color="E2E0E1"/>
        </w:pBdr>
        <w:shd w:val="clear" w:color="auto" w:fill="FFFFFF" w:themeFill="background1"/>
        <w:spacing w:before="0" w:beforeAutospacing="0" w:after="0" w:afterAutospacing="0" w:line="360" w:lineRule="auto"/>
        <w:rPr>
          <w:rFonts w:eastAsiaTheme="minorHAnsi"/>
          <w:kern w:val="2"/>
          <w:lang w:eastAsia="en-US"/>
          <w14:ligatures w14:val="standardContextual"/>
        </w:rPr>
      </w:pPr>
      <w:proofErr w:type="gramStart"/>
      <w:r w:rsidRPr="003277B8">
        <w:rPr>
          <w:rFonts w:eastAsiaTheme="minorHAnsi"/>
          <w:kern w:val="2"/>
          <w:lang w:eastAsia="en-US"/>
          <w14:ligatures w14:val="standardContextual"/>
        </w:rPr>
        <w:t>многоцентровое</w:t>
      </w:r>
      <w:proofErr w:type="gramEnd"/>
      <w:r w:rsidRPr="003277B8">
        <w:rPr>
          <w:rFonts w:eastAsiaTheme="minorHAnsi"/>
          <w:kern w:val="2"/>
          <w:lang w:eastAsia="en-US"/>
          <w14:ligatures w14:val="standardContextual"/>
        </w:rPr>
        <w:t xml:space="preserve"> с адаптивным дизайном и слепой оценкой исходов. В исследование</w:t>
      </w:r>
    </w:p>
    <w:p w:rsidR="003277B8" w:rsidRPr="003277B8" w:rsidRDefault="003277B8" w:rsidP="003277B8">
      <w:pPr>
        <w:pStyle w:val="a6"/>
        <w:pBdr>
          <w:bottom w:val="single" w:sz="6" w:space="0" w:color="E2E0E1"/>
        </w:pBdr>
        <w:shd w:val="clear" w:color="auto" w:fill="FFFFFF" w:themeFill="background1"/>
        <w:spacing w:before="0" w:beforeAutospacing="0" w:after="0" w:afterAutospacing="0" w:line="360" w:lineRule="auto"/>
        <w:rPr>
          <w:rFonts w:eastAsiaTheme="minorHAnsi"/>
          <w:kern w:val="2"/>
          <w:lang w:eastAsia="en-US"/>
          <w14:ligatures w14:val="standardContextual"/>
        </w:rPr>
      </w:pPr>
      <w:proofErr w:type="gramStart"/>
      <w:r w:rsidRPr="003277B8">
        <w:rPr>
          <w:rFonts w:eastAsiaTheme="minorHAnsi"/>
          <w:kern w:val="2"/>
          <w:lang w:eastAsia="en-US"/>
          <w14:ligatures w14:val="standardContextual"/>
        </w:rPr>
        <w:t>включались</w:t>
      </w:r>
      <w:proofErr w:type="gramEnd"/>
      <w:r w:rsidRPr="003277B8">
        <w:rPr>
          <w:rFonts w:eastAsiaTheme="minorHAnsi"/>
          <w:kern w:val="2"/>
          <w:lang w:eastAsia="en-US"/>
          <w14:ligatures w14:val="standardContextual"/>
        </w:rPr>
        <w:t xml:space="preserve"> пациенты с ТЭЛА промежуточно-высокого риска (диагностировалось на</w:t>
      </w:r>
    </w:p>
    <w:p w:rsidR="003277B8" w:rsidRPr="003277B8" w:rsidRDefault="003277B8" w:rsidP="003277B8">
      <w:pPr>
        <w:pStyle w:val="a6"/>
        <w:pBdr>
          <w:bottom w:val="single" w:sz="6" w:space="0" w:color="E2E0E1"/>
        </w:pBdr>
        <w:shd w:val="clear" w:color="auto" w:fill="FFFFFF" w:themeFill="background1"/>
        <w:spacing w:before="0" w:beforeAutospacing="0" w:after="0" w:afterAutospacing="0" w:line="360" w:lineRule="auto"/>
        <w:rPr>
          <w:rFonts w:eastAsiaTheme="minorHAnsi"/>
          <w:kern w:val="2"/>
          <w:lang w:eastAsia="en-US"/>
          <w14:ligatures w14:val="standardContextual"/>
        </w:rPr>
      </w:pPr>
      <w:proofErr w:type="gramStart"/>
      <w:r w:rsidRPr="003277B8">
        <w:rPr>
          <w:rFonts w:eastAsiaTheme="minorHAnsi"/>
          <w:kern w:val="2"/>
          <w:lang w:eastAsia="en-US"/>
          <w14:ligatures w14:val="standardContextual"/>
        </w:rPr>
        <w:t>основании</w:t>
      </w:r>
      <w:proofErr w:type="gramEnd"/>
      <w:r w:rsidRPr="003277B8">
        <w:rPr>
          <w:rFonts w:eastAsiaTheme="minorHAnsi"/>
          <w:kern w:val="2"/>
          <w:lang w:eastAsia="en-US"/>
          <w14:ligatures w14:val="standardContextual"/>
        </w:rPr>
        <w:t xml:space="preserve"> увеличения ПЖ (соотношение конечно-диастолического диаметра правого</w:t>
      </w:r>
    </w:p>
    <w:p w:rsidR="003277B8" w:rsidRPr="003277B8" w:rsidRDefault="003277B8" w:rsidP="003277B8">
      <w:pPr>
        <w:pStyle w:val="a6"/>
        <w:pBdr>
          <w:bottom w:val="single" w:sz="6" w:space="0" w:color="E2E0E1"/>
        </w:pBdr>
        <w:shd w:val="clear" w:color="auto" w:fill="FFFFFF" w:themeFill="background1"/>
        <w:spacing w:before="0" w:beforeAutospacing="0" w:after="0" w:afterAutospacing="0" w:line="360" w:lineRule="auto"/>
        <w:rPr>
          <w:rFonts w:eastAsiaTheme="minorHAnsi"/>
          <w:kern w:val="2"/>
          <w:lang w:eastAsia="en-US"/>
          <w14:ligatures w14:val="standardContextual"/>
        </w:rPr>
      </w:pPr>
      <w:proofErr w:type="gramStart"/>
      <w:r w:rsidRPr="003277B8">
        <w:rPr>
          <w:rFonts w:eastAsiaTheme="minorHAnsi"/>
          <w:kern w:val="2"/>
          <w:lang w:eastAsia="en-US"/>
          <w14:ligatures w14:val="standardContextual"/>
        </w:rPr>
        <w:t>желудочка</w:t>
      </w:r>
      <w:proofErr w:type="gramEnd"/>
      <w:r w:rsidRPr="003277B8">
        <w:rPr>
          <w:rFonts w:eastAsiaTheme="minorHAnsi"/>
          <w:kern w:val="2"/>
          <w:lang w:eastAsia="en-US"/>
          <w14:ligatures w14:val="standardContextual"/>
        </w:rPr>
        <w:t xml:space="preserve"> к конечно-диастолическому диаметру левого желудочка ≥1,0) в сочетании с</w:t>
      </w:r>
    </w:p>
    <w:p w:rsidR="003277B8" w:rsidRPr="003277B8" w:rsidRDefault="003277B8" w:rsidP="003277B8">
      <w:pPr>
        <w:pStyle w:val="a6"/>
        <w:pBdr>
          <w:bottom w:val="single" w:sz="6" w:space="0" w:color="E2E0E1"/>
        </w:pBdr>
        <w:shd w:val="clear" w:color="auto" w:fill="FFFFFF" w:themeFill="background1"/>
        <w:spacing w:before="0" w:beforeAutospacing="0" w:after="0" w:afterAutospacing="0" w:line="360" w:lineRule="auto"/>
        <w:rPr>
          <w:rFonts w:eastAsiaTheme="minorHAnsi"/>
          <w:kern w:val="2"/>
          <w:lang w:eastAsia="en-US"/>
          <w14:ligatures w14:val="standardContextual"/>
        </w:rPr>
      </w:pPr>
      <w:proofErr w:type="gramStart"/>
      <w:r w:rsidRPr="003277B8">
        <w:rPr>
          <w:rFonts w:eastAsiaTheme="minorHAnsi"/>
          <w:kern w:val="2"/>
          <w:lang w:eastAsia="en-US"/>
          <w14:ligatures w14:val="standardContextual"/>
        </w:rPr>
        <w:t>повышенным</w:t>
      </w:r>
      <w:proofErr w:type="gramEnd"/>
      <w:r w:rsidRPr="003277B8">
        <w:rPr>
          <w:rFonts w:eastAsiaTheme="minorHAnsi"/>
          <w:kern w:val="2"/>
          <w:lang w:eastAsia="en-US"/>
          <w14:ligatures w14:val="standardContextual"/>
        </w:rPr>
        <w:t xml:space="preserve"> уровнем </w:t>
      </w:r>
      <w:proofErr w:type="spellStart"/>
      <w:r w:rsidRPr="003277B8">
        <w:rPr>
          <w:rFonts w:eastAsiaTheme="minorHAnsi"/>
          <w:kern w:val="2"/>
          <w:lang w:eastAsia="en-US"/>
          <w14:ligatures w14:val="standardContextual"/>
        </w:rPr>
        <w:t>тропонина</w:t>
      </w:r>
      <w:proofErr w:type="spellEnd"/>
      <w:r w:rsidRPr="003277B8">
        <w:rPr>
          <w:rFonts w:eastAsiaTheme="minorHAnsi"/>
          <w:kern w:val="2"/>
          <w:lang w:eastAsia="en-US"/>
          <w14:ligatures w14:val="standardContextual"/>
        </w:rPr>
        <w:t>) при наличии у них не менее двух признаков</w:t>
      </w:r>
    </w:p>
    <w:p w:rsidR="003277B8" w:rsidRPr="003277B8" w:rsidRDefault="003277B8" w:rsidP="003277B8">
      <w:pPr>
        <w:pStyle w:val="a6"/>
        <w:pBdr>
          <w:bottom w:val="single" w:sz="6" w:space="0" w:color="E2E0E1"/>
        </w:pBdr>
        <w:shd w:val="clear" w:color="auto" w:fill="FFFFFF" w:themeFill="background1"/>
        <w:spacing w:before="0" w:beforeAutospacing="0" w:after="0" w:afterAutospacing="0" w:line="360" w:lineRule="auto"/>
        <w:rPr>
          <w:rFonts w:eastAsiaTheme="minorHAnsi"/>
          <w:kern w:val="2"/>
          <w:lang w:eastAsia="en-US"/>
          <w14:ligatures w14:val="standardContextual"/>
        </w:rPr>
      </w:pPr>
      <w:proofErr w:type="spellStart"/>
      <w:proofErr w:type="gramStart"/>
      <w:r w:rsidRPr="003277B8">
        <w:rPr>
          <w:rFonts w:eastAsiaTheme="minorHAnsi"/>
          <w:kern w:val="2"/>
          <w:lang w:eastAsia="en-US"/>
          <w14:ligatures w14:val="standardContextual"/>
        </w:rPr>
        <w:t>кардиореспираторного</w:t>
      </w:r>
      <w:proofErr w:type="spellEnd"/>
      <w:proofErr w:type="gramEnd"/>
      <w:r w:rsidRPr="003277B8">
        <w:rPr>
          <w:rFonts w:eastAsiaTheme="minorHAnsi"/>
          <w:kern w:val="2"/>
          <w:lang w:eastAsia="en-US"/>
          <w14:ligatures w14:val="standardContextual"/>
        </w:rPr>
        <w:t xml:space="preserve"> </w:t>
      </w:r>
      <w:proofErr w:type="spellStart"/>
      <w:r w:rsidRPr="003277B8">
        <w:rPr>
          <w:rFonts w:eastAsiaTheme="minorHAnsi"/>
          <w:kern w:val="2"/>
          <w:lang w:eastAsia="en-US"/>
          <w14:ligatures w14:val="standardContextual"/>
        </w:rPr>
        <w:t>дистресса</w:t>
      </w:r>
      <w:proofErr w:type="spellEnd"/>
      <w:r w:rsidRPr="003277B8">
        <w:rPr>
          <w:rFonts w:eastAsiaTheme="minorHAnsi"/>
          <w:kern w:val="2"/>
          <w:lang w:eastAsia="en-US"/>
          <w14:ligatures w14:val="standardContextual"/>
        </w:rPr>
        <w:t xml:space="preserve"> (систолическое артериальное давление ≤110 мм рт. ст.,</w:t>
      </w:r>
    </w:p>
    <w:p w:rsidR="003277B8" w:rsidRPr="003277B8" w:rsidRDefault="003277B8" w:rsidP="003277B8">
      <w:pPr>
        <w:pStyle w:val="a6"/>
        <w:pBdr>
          <w:bottom w:val="single" w:sz="6" w:space="0" w:color="E2E0E1"/>
        </w:pBdr>
        <w:shd w:val="clear" w:color="auto" w:fill="FFFFFF" w:themeFill="background1"/>
        <w:spacing w:before="0" w:beforeAutospacing="0" w:after="0" w:afterAutospacing="0" w:line="360" w:lineRule="auto"/>
        <w:rPr>
          <w:rFonts w:eastAsiaTheme="minorHAnsi"/>
          <w:kern w:val="2"/>
          <w:lang w:eastAsia="en-US"/>
          <w14:ligatures w14:val="standardContextual"/>
        </w:rPr>
      </w:pPr>
      <w:proofErr w:type="gramStart"/>
      <w:r w:rsidRPr="003277B8">
        <w:rPr>
          <w:rFonts w:eastAsiaTheme="minorHAnsi"/>
          <w:kern w:val="2"/>
          <w:lang w:eastAsia="en-US"/>
          <w14:ligatures w14:val="standardContextual"/>
        </w:rPr>
        <w:t>частота</w:t>
      </w:r>
      <w:proofErr w:type="gramEnd"/>
      <w:r w:rsidRPr="003277B8">
        <w:rPr>
          <w:rFonts w:eastAsiaTheme="minorHAnsi"/>
          <w:kern w:val="2"/>
          <w:lang w:eastAsia="en-US"/>
          <w14:ligatures w14:val="standardContextual"/>
        </w:rPr>
        <w:t xml:space="preserve"> сердечных сокращений ≥100 ударов в минуту или частота дыхательных движений</w:t>
      </w:r>
    </w:p>
    <w:p w:rsidR="003277B8" w:rsidRPr="003277B8" w:rsidRDefault="003277B8" w:rsidP="003277B8">
      <w:pPr>
        <w:pStyle w:val="a6"/>
        <w:pBdr>
          <w:bottom w:val="single" w:sz="6" w:space="0" w:color="E2E0E1"/>
        </w:pBdr>
        <w:shd w:val="clear" w:color="auto" w:fill="FFFFFF" w:themeFill="background1"/>
        <w:spacing w:before="0" w:beforeAutospacing="0" w:after="0" w:afterAutospacing="0" w:line="360" w:lineRule="auto"/>
        <w:rPr>
          <w:rFonts w:eastAsiaTheme="minorHAnsi"/>
          <w:kern w:val="2"/>
          <w:lang w:eastAsia="en-US"/>
          <w14:ligatures w14:val="standardContextual"/>
        </w:rPr>
      </w:pPr>
      <w:r w:rsidRPr="003277B8">
        <w:rPr>
          <w:rFonts w:eastAsiaTheme="minorHAnsi"/>
          <w:kern w:val="2"/>
          <w:lang w:eastAsia="en-US"/>
          <w14:ligatures w14:val="standardContextual"/>
        </w:rPr>
        <w:t>&amp;gt;20 в минуту).</w:t>
      </w:r>
    </w:p>
    <w:p w:rsidR="003277B8" w:rsidRPr="003277B8" w:rsidRDefault="003277B8" w:rsidP="003277B8">
      <w:pPr>
        <w:pStyle w:val="a6"/>
        <w:pBdr>
          <w:bottom w:val="single" w:sz="6" w:space="0" w:color="E2E0E1"/>
        </w:pBdr>
        <w:shd w:val="clear" w:color="auto" w:fill="FFFFFF" w:themeFill="background1"/>
        <w:spacing w:before="0" w:beforeAutospacing="0" w:after="0" w:afterAutospacing="0" w:line="360" w:lineRule="auto"/>
        <w:rPr>
          <w:rFonts w:eastAsiaTheme="minorHAnsi"/>
          <w:kern w:val="2"/>
          <w:lang w:eastAsia="en-US"/>
          <w14:ligatures w14:val="standardContextual"/>
        </w:rPr>
      </w:pPr>
      <w:r w:rsidRPr="003277B8">
        <w:rPr>
          <w:rFonts w:eastAsiaTheme="minorHAnsi"/>
          <w:kern w:val="2"/>
          <w:lang w:eastAsia="en-US"/>
          <w14:ligatures w14:val="standardContextual"/>
        </w:rPr>
        <w:t xml:space="preserve">Пациенты были </w:t>
      </w:r>
      <w:proofErr w:type="spellStart"/>
      <w:r w:rsidRPr="003277B8">
        <w:rPr>
          <w:rFonts w:eastAsiaTheme="minorHAnsi"/>
          <w:kern w:val="2"/>
          <w:lang w:eastAsia="en-US"/>
          <w14:ligatures w14:val="standardContextual"/>
        </w:rPr>
        <w:t>рандомизированы</w:t>
      </w:r>
      <w:proofErr w:type="spellEnd"/>
      <w:r w:rsidRPr="003277B8">
        <w:rPr>
          <w:rFonts w:eastAsiaTheme="minorHAnsi"/>
          <w:kern w:val="2"/>
          <w:lang w:eastAsia="en-US"/>
          <w14:ligatures w14:val="standardContextual"/>
        </w:rPr>
        <w:t xml:space="preserve"> для получения либо катетер-направленного</w:t>
      </w:r>
    </w:p>
    <w:p w:rsidR="003277B8" w:rsidRPr="003277B8" w:rsidRDefault="003277B8" w:rsidP="003277B8">
      <w:pPr>
        <w:pStyle w:val="a6"/>
        <w:pBdr>
          <w:bottom w:val="single" w:sz="6" w:space="0" w:color="E2E0E1"/>
        </w:pBdr>
        <w:shd w:val="clear" w:color="auto" w:fill="FFFFFF" w:themeFill="background1"/>
        <w:spacing w:before="0" w:beforeAutospacing="0" w:after="0" w:afterAutospacing="0" w:line="360" w:lineRule="auto"/>
        <w:rPr>
          <w:rFonts w:eastAsiaTheme="minorHAnsi"/>
          <w:kern w:val="2"/>
          <w:lang w:eastAsia="en-US"/>
          <w14:ligatures w14:val="standardContextual"/>
        </w:rPr>
      </w:pPr>
      <w:r w:rsidRPr="003277B8">
        <w:rPr>
          <w:rFonts w:eastAsiaTheme="minorHAnsi"/>
          <w:kern w:val="2"/>
          <w:lang w:eastAsia="en-US"/>
          <w14:ligatures w14:val="standardContextual"/>
        </w:rPr>
        <w:t>УЗИ-</w:t>
      </w:r>
      <w:proofErr w:type="spellStart"/>
      <w:r w:rsidRPr="003277B8">
        <w:rPr>
          <w:rFonts w:eastAsiaTheme="minorHAnsi"/>
          <w:kern w:val="2"/>
          <w:lang w:eastAsia="en-US"/>
          <w14:ligatures w14:val="standardContextual"/>
        </w:rPr>
        <w:t>ассистированного</w:t>
      </w:r>
      <w:proofErr w:type="spellEnd"/>
      <w:r w:rsidRPr="003277B8">
        <w:rPr>
          <w:rFonts w:eastAsiaTheme="minorHAnsi"/>
          <w:kern w:val="2"/>
          <w:lang w:eastAsia="en-US"/>
          <w14:ligatures w14:val="standardContextual"/>
        </w:rPr>
        <w:t xml:space="preserve"> </w:t>
      </w:r>
      <w:proofErr w:type="spellStart"/>
      <w:r w:rsidRPr="003277B8">
        <w:rPr>
          <w:rFonts w:eastAsiaTheme="minorHAnsi"/>
          <w:kern w:val="2"/>
          <w:lang w:eastAsia="en-US"/>
          <w14:ligatures w14:val="standardContextual"/>
        </w:rPr>
        <w:t>фибринолиза</w:t>
      </w:r>
      <w:proofErr w:type="spellEnd"/>
      <w:r w:rsidRPr="003277B8">
        <w:rPr>
          <w:rFonts w:eastAsiaTheme="minorHAnsi"/>
          <w:kern w:val="2"/>
          <w:lang w:eastAsia="en-US"/>
          <w14:ligatures w14:val="standardContextual"/>
        </w:rPr>
        <w:t xml:space="preserve"> с использованием </w:t>
      </w:r>
      <w:proofErr w:type="spellStart"/>
      <w:r w:rsidRPr="003277B8">
        <w:rPr>
          <w:rFonts w:eastAsiaTheme="minorHAnsi"/>
          <w:kern w:val="2"/>
          <w:lang w:eastAsia="en-US"/>
          <w14:ligatures w14:val="standardContextual"/>
        </w:rPr>
        <w:t>альтеплазы</w:t>
      </w:r>
      <w:proofErr w:type="spellEnd"/>
      <w:r w:rsidRPr="003277B8">
        <w:rPr>
          <w:rFonts w:eastAsiaTheme="minorHAnsi"/>
          <w:kern w:val="2"/>
          <w:lang w:eastAsia="en-US"/>
          <w14:ligatures w14:val="standardContextual"/>
        </w:rPr>
        <w:t xml:space="preserve"> в сочетании с</w:t>
      </w:r>
    </w:p>
    <w:p w:rsidR="003277B8" w:rsidRPr="003277B8" w:rsidRDefault="003277B8" w:rsidP="003277B8">
      <w:pPr>
        <w:pStyle w:val="a6"/>
        <w:pBdr>
          <w:bottom w:val="single" w:sz="6" w:space="0" w:color="E2E0E1"/>
        </w:pBdr>
        <w:shd w:val="clear" w:color="auto" w:fill="FFFFFF" w:themeFill="background1"/>
        <w:spacing w:before="0" w:beforeAutospacing="0" w:after="0" w:afterAutospacing="0" w:line="360" w:lineRule="auto"/>
        <w:rPr>
          <w:rFonts w:eastAsiaTheme="minorHAnsi"/>
          <w:kern w:val="2"/>
          <w:lang w:eastAsia="en-US"/>
          <w14:ligatures w14:val="standardContextual"/>
        </w:rPr>
      </w:pPr>
      <w:proofErr w:type="spellStart"/>
      <w:proofErr w:type="gramStart"/>
      <w:r w:rsidRPr="003277B8">
        <w:rPr>
          <w:rFonts w:eastAsiaTheme="minorHAnsi"/>
          <w:kern w:val="2"/>
          <w:lang w:eastAsia="en-US"/>
          <w14:ligatures w14:val="standardContextual"/>
        </w:rPr>
        <w:t>антикоагулянтной</w:t>
      </w:r>
      <w:proofErr w:type="spellEnd"/>
      <w:proofErr w:type="gramEnd"/>
      <w:r w:rsidRPr="003277B8">
        <w:rPr>
          <w:rFonts w:eastAsiaTheme="minorHAnsi"/>
          <w:kern w:val="2"/>
          <w:lang w:eastAsia="en-US"/>
          <w14:ligatures w14:val="standardContextual"/>
        </w:rPr>
        <w:t xml:space="preserve"> терапией (группа вмешательства), либо только </w:t>
      </w:r>
      <w:proofErr w:type="spellStart"/>
      <w:r w:rsidRPr="003277B8">
        <w:rPr>
          <w:rFonts w:eastAsiaTheme="minorHAnsi"/>
          <w:kern w:val="2"/>
          <w:lang w:eastAsia="en-US"/>
          <w14:ligatures w14:val="standardContextual"/>
        </w:rPr>
        <w:t>антикоагулянтной</w:t>
      </w:r>
      <w:proofErr w:type="spellEnd"/>
    </w:p>
    <w:p w:rsidR="003277B8" w:rsidRPr="003277B8" w:rsidRDefault="003277B8" w:rsidP="003277B8">
      <w:pPr>
        <w:pStyle w:val="a6"/>
        <w:pBdr>
          <w:bottom w:val="single" w:sz="6" w:space="0" w:color="E2E0E1"/>
        </w:pBdr>
        <w:shd w:val="clear" w:color="auto" w:fill="FFFFFF" w:themeFill="background1"/>
        <w:spacing w:before="0" w:beforeAutospacing="0" w:after="0" w:afterAutospacing="0" w:line="360" w:lineRule="auto"/>
        <w:rPr>
          <w:rFonts w:eastAsiaTheme="minorHAnsi"/>
          <w:kern w:val="2"/>
          <w:lang w:eastAsia="en-US"/>
          <w14:ligatures w14:val="standardContextual"/>
        </w:rPr>
      </w:pPr>
      <w:proofErr w:type="gramStart"/>
      <w:r w:rsidRPr="003277B8">
        <w:rPr>
          <w:rFonts w:eastAsiaTheme="minorHAnsi"/>
          <w:kern w:val="2"/>
          <w:lang w:eastAsia="en-US"/>
          <w14:ligatures w14:val="standardContextual"/>
        </w:rPr>
        <w:t>терапии</w:t>
      </w:r>
      <w:proofErr w:type="gramEnd"/>
      <w:r w:rsidRPr="003277B8">
        <w:rPr>
          <w:rFonts w:eastAsiaTheme="minorHAnsi"/>
          <w:kern w:val="2"/>
          <w:lang w:eastAsia="en-US"/>
          <w14:ligatures w14:val="standardContextual"/>
        </w:rPr>
        <w:t xml:space="preserve"> (контрольная группа) в соответствии с заранее утвержденными протоколами</w:t>
      </w:r>
    </w:p>
    <w:p w:rsidR="003277B8" w:rsidRPr="003277B8" w:rsidRDefault="003277B8" w:rsidP="003277B8">
      <w:pPr>
        <w:pStyle w:val="a6"/>
        <w:pBdr>
          <w:bottom w:val="single" w:sz="6" w:space="0" w:color="E2E0E1"/>
        </w:pBdr>
        <w:shd w:val="clear" w:color="auto" w:fill="FFFFFF" w:themeFill="background1"/>
        <w:spacing w:before="0" w:beforeAutospacing="0" w:after="0" w:afterAutospacing="0" w:line="360" w:lineRule="auto"/>
        <w:rPr>
          <w:rFonts w:eastAsiaTheme="minorHAnsi"/>
          <w:kern w:val="2"/>
          <w:lang w:eastAsia="en-US"/>
          <w14:ligatures w14:val="standardContextual"/>
        </w:rPr>
      </w:pPr>
      <w:proofErr w:type="gramStart"/>
      <w:r w:rsidRPr="003277B8">
        <w:rPr>
          <w:rFonts w:eastAsiaTheme="minorHAnsi"/>
          <w:kern w:val="2"/>
          <w:lang w:eastAsia="en-US"/>
          <w14:ligatures w14:val="standardContextual"/>
        </w:rPr>
        <w:t>лечения</w:t>
      </w:r>
      <w:proofErr w:type="gramEnd"/>
      <w:r w:rsidRPr="003277B8">
        <w:rPr>
          <w:rFonts w:eastAsiaTheme="minorHAnsi"/>
          <w:kern w:val="2"/>
          <w:lang w:eastAsia="en-US"/>
          <w14:ligatures w14:val="standardContextual"/>
        </w:rPr>
        <w:t xml:space="preserve">. </w:t>
      </w:r>
      <w:proofErr w:type="spellStart"/>
      <w:r w:rsidRPr="003277B8">
        <w:rPr>
          <w:rFonts w:eastAsiaTheme="minorHAnsi"/>
          <w:kern w:val="2"/>
          <w:lang w:eastAsia="en-US"/>
          <w14:ligatures w14:val="standardContextual"/>
        </w:rPr>
        <w:t>Катетерный</w:t>
      </w:r>
      <w:proofErr w:type="spellEnd"/>
      <w:r w:rsidRPr="003277B8">
        <w:rPr>
          <w:rFonts w:eastAsiaTheme="minorHAnsi"/>
          <w:kern w:val="2"/>
          <w:lang w:eastAsia="en-US"/>
          <w14:ligatures w14:val="standardContextual"/>
        </w:rPr>
        <w:t xml:space="preserve"> </w:t>
      </w:r>
      <w:proofErr w:type="spellStart"/>
      <w:r w:rsidRPr="003277B8">
        <w:rPr>
          <w:rFonts w:eastAsiaTheme="minorHAnsi"/>
          <w:kern w:val="2"/>
          <w:lang w:eastAsia="en-US"/>
          <w14:ligatures w14:val="standardContextual"/>
        </w:rPr>
        <w:t>тромболизис</w:t>
      </w:r>
      <w:proofErr w:type="spellEnd"/>
      <w:r w:rsidRPr="003277B8">
        <w:rPr>
          <w:rFonts w:eastAsiaTheme="minorHAnsi"/>
          <w:kern w:val="2"/>
          <w:lang w:eastAsia="en-US"/>
          <w14:ligatures w14:val="standardContextual"/>
        </w:rPr>
        <w:t xml:space="preserve"> проводился с использованием системы </w:t>
      </w:r>
      <w:proofErr w:type="spellStart"/>
      <w:r w:rsidRPr="003277B8">
        <w:rPr>
          <w:rFonts w:eastAsiaTheme="minorHAnsi"/>
          <w:kern w:val="2"/>
          <w:lang w:eastAsia="en-US"/>
          <w14:ligatures w14:val="standardContextual"/>
        </w:rPr>
        <w:t>EkoSonic</w:t>
      </w:r>
      <w:proofErr w:type="spellEnd"/>
      <w:r w:rsidRPr="003277B8">
        <w:rPr>
          <w:rFonts w:eastAsiaTheme="minorHAnsi"/>
          <w:kern w:val="2"/>
          <w:lang w:eastAsia="en-US"/>
          <w14:ligatures w14:val="standardContextual"/>
        </w:rPr>
        <w:t>.</w:t>
      </w:r>
    </w:p>
    <w:p w:rsidR="003277B8" w:rsidRPr="003277B8" w:rsidRDefault="003277B8" w:rsidP="003277B8">
      <w:pPr>
        <w:pStyle w:val="a6"/>
        <w:pBdr>
          <w:bottom w:val="single" w:sz="6" w:space="0" w:color="E2E0E1"/>
        </w:pBdr>
        <w:shd w:val="clear" w:color="auto" w:fill="FFFFFF" w:themeFill="background1"/>
        <w:spacing w:before="0" w:beforeAutospacing="0" w:after="0" w:afterAutospacing="0" w:line="360" w:lineRule="auto"/>
        <w:rPr>
          <w:rFonts w:eastAsiaTheme="minorHAnsi"/>
          <w:kern w:val="2"/>
          <w:lang w:eastAsia="en-US"/>
          <w14:ligatures w14:val="standardContextual"/>
        </w:rPr>
      </w:pPr>
      <w:r w:rsidRPr="003277B8">
        <w:rPr>
          <w:rFonts w:eastAsiaTheme="minorHAnsi"/>
          <w:kern w:val="2"/>
          <w:lang w:eastAsia="en-US"/>
          <w14:ligatures w14:val="standardContextual"/>
        </w:rPr>
        <w:t>Следует обратить внимание, что для УЗИ-</w:t>
      </w:r>
      <w:proofErr w:type="spellStart"/>
      <w:r w:rsidRPr="003277B8">
        <w:rPr>
          <w:rFonts w:eastAsiaTheme="minorHAnsi"/>
          <w:kern w:val="2"/>
          <w:lang w:eastAsia="en-US"/>
          <w14:ligatures w14:val="standardContextual"/>
        </w:rPr>
        <w:t>ассистированного</w:t>
      </w:r>
      <w:proofErr w:type="spellEnd"/>
      <w:r w:rsidRPr="003277B8">
        <w:rPr>
          <w:rFonts w:eastAsiaTheme="minorHAnsi"/>
          <w:kern w:val="2"/>
          <w:lang w:eastAsia="en-US"/>
          <w14:ligatures w14:val="standardContextual"/>
        </w:rPr>
        <w:t xml:space="preserve"> </w:t>
      </w:r>
      <w:proofErr w:type="spellStart"/>
      <w:r w:rsidRPr="003277B8">
        <w:rPr>
          <w:rFonts w:eastAsiaTheme="minorHAnsi"/>
          <w:kern w:val="2"/>
          <w:lang w:eastAsia="en-US"/>
          <w14:ligatures w14:val="standardContextual"/>
        </w:rPr>
        <w:t>тромблолизиса</w:t>
      </w:r>
      <w:proofErr w:type="spellEnd"/>
    </w:p>
    <w:p w:rsidR="003277B8" w:rsidRPr="003277B8" w:rsidRDefault="003277B8" w:rsidP="003277B8">
      <w:pPr>
        <w:pStyle w:val="a6"/>
        <w:pBdr>
          <w:bottom w:val="single" w:sz="6" w:space="0" w:color="E2E0E1"/>
        </w:pBdr>
        <w:shd w:val="clear" w:color="auto" w:fill="FFFFFF" w:themeFill="background1"/>
        <w:spacing w:before="0" w:beforeAutospacing="0" w:after="0" w:afterAutospacing="0" w:line="360" w:lineRule="auto"/>
        <w:rPr>
          <w:rFonts w:eastAsiaTheme="minorHAnsi"/>
          <w:kern w:val="2"/>
          <w:lang w:eastAsia="en-US"/>
          <w14:ligatures w14:val="standardContextual"/>
        </w:rPr>
      </w:pPr>
      <w:proofErr w:type="gramStart"/>
      <w:r w:rsidRPr="003277B8">
        <w:rPr>
          <w:rFonts w:eastAsiaTheme="minorHAnsi"/>
          <w:kern w:val="2"/>
          <w:lang w:eastAsia="en-US"/>
          <w14:ligatures w14:val="standardContextual"/>
        </w:rPr>
        <w:t>используются</w:t>
      </w:r>
      <w:proofErr w:type="gramEnd"/>
      <w:r w:rsidRPr="003277B8">
        <w:rPr>
          <w:rFonts w:eastAsiaTheme="minorHAnsi"/>
          <w:kern w:val="2"/>
          <w:lang w:eastAsia="en-US"/>
          <w14:ligatures w14:val="standardContextual"/>
        </w:rPr>
        <w:t xml:space="preserve"> сниженные дозы </w:t>
      </w:r>
      <w:proofErr w:type="spellStart"/>
      <w:r w:rsidRPr="003277B8">
        <w:rPr>
          <w:rFonts w:eastAsiaTheme="minorHAnsi"/>
          <w:kern w:val="2"/>
          <w:lang w:eastAsia="en-US"/>
          <w14:ligatures w14:val="standardContextual"/>
        </w:rPr>
        <w:t>тромболитика</w:t>
      </w:r>
      <w:proofErr w:type="spellEnd"/>
      <w:r w:rsidRPr="003277B8">
        <w:rPr>
          <w:rFonts w:eastAsiaTheme="minorHAnsi"/>
          <w:kern w:val="2"/>
          <w:lang w:eastAsia="en-US"/>
          <w14:ligatures w14:val="standardContextual"/>
        </w:rPr>
        <w:t>, в данном исследовании средняя доза</w:t>
      </w:r>
    </w:p>
    <w:p w:rsidR="003277B8" w:rsidRPr="003277B8" w:rsidRDefault="003277B8" w:rsidP="003277B8">
      <w:pPr>
        <w:pStyle w:val="a6"/>
        <w:pBdr>
          <w:bottom w:val="single" w:sz="6" w:space="0" w:color="E2E0E1"/>
        </w:pBdr>
        <w:shd w:val="clear" w:color="auto" w:fill="FFFFFF" w:themeFill="background1"/>
        <w:spacing w:before="0" w:beforeAutospacing="0" w:after="0" w:afterAutospacing="0" w:line="360" w:lineRule="auto"/>
        <w:rPr>
          <w:rFonts w:eastAsiaTheme="minorHAnsi"/>
          <w:kern w:val="2"/>
          <w:lang w:eastAsia="en-US"/>
          <w14:ligatures w14:val="standardContextual"/>
        </w:rPr>
      </w:pPr>
      <w:proofErr w:type="spellStart"/>
      <w:proofErr w:type="gramStart"/>
      <w:r w:rsidRPr="003277B8">
        <w:rPr>
          <w:rFonts w:eastAsiaTheme="minorHAnsi"/>
          <w:kern w:val="2"/>
          <w:lang w:eastAsia="en-US"/>
          <w14:ligatures w14:val="standardContextual"/>
        </w:rPr>
        <w:t>альтеплазы</w:t>
      </w:r>
      <w:proofErr w:type="spellEnd"/>
      <w:proofErr w:type="gramEnd"/>
      <w:r w:rsidRPr="003277B8">
        <w:rPr>
          <w:rFonts w:eastAsiaTheme="minorHAnsi"/>
          <w:kern w:val="2"/>
          <w:lang w:eastAsia="en-US"/>
          <w14:ligatures w14:val="standardContextual"/>
        </w:rPr>
        <w:t xml:space="preserve"> составила 16,3 мг.</w:t>
      </w:r>
    </w:p>
    <w:p w:rsidR="003277B8" w:rsidRPr="003277B8" w:rsidRDefault="003277B8" w:rsidP="003277B8">
      <w:pPr>
        <w:pStyle w:val="a6"/>
        <w:pBdr>
          <w:bottom w:val="single" w:sz="6" w:space="0" w:color="E2E0E1"/>
        </w:pBdr>
        <w:shd w:val="clear" w:color="auto" w:fill="FFFFFF" w:themeFill="background1"/>
        <w:spacing w:before="0" w:beforeAutospacing="0" w:after="0" w:afterAutospacing="0" w:line="360" w:lineRule="auto"/>
        <w:rPr>
          <w:rFonts w:eastAsiaTheme="minorHAnsi"/>
          <w:kern w:val="2"/>
          <w:lang w:eastAsia="en-US"/>
          <w14:ligatures w14:val="standardContextual"/>
        </w:rPr>
      </w:pPr>
      <w:r w:rsidRPr="003277B8">
        <w:rPr>
          <w:rFonts w:eastAsiaTheme="minorHAnsi"/>
          <w:kern w:val="2"/>
          <w:lang w:eastAsia="en-US"/>
          <w14:ligatures w14:val="standardContextual"/>
        </w:rPr>
        <w:t>Первичным исходом являлась комбинированная конечная точка, включавшая смерть,</w:t>
      </w:r>
    </w:p>
    <w:p w:rsidR="003277B8" w:rsidRPr="003277B8" w:rsidRDefault="003277B8" w:rsidP="003277B8">
      <w:pPr>
        <w:pStyle w:val="a6"/>
        <w:pBdr>
          <w:bottom w:val="single" w:sz="6" w:space="0" w:color="E2E0E1"/>
        </w:pBdr>
        <w:shd w:val="clear" w:color="auto" w:fill="FFFFFF" w:themeFill="background1"/>
        <w:spacing w:before="0" w:beforeAutospacing="0" w:after="0" w:afterAutospacing="0" w:line="360" w:lineRule="auto"/>
        <w:rPr>
          <w:rFonts w:eastAsiaTheme="minorHAnsi"/>
          <w:kern w:val="2"/>
          <w:lang w:eastAsia="en-US"/>
          <w14:ligatures w14:val="standardContextual"/>
        </w:rPr>
      </w:pPr>
      <w:proofErr w:type="gramStart"/>
      <w:r w:rsidRPr="003277B8">
        <w:rPr>
          <w:rFonts w:eastAsiaTheme="minorHAnsi"/>
          <w:kern w:val="2"/>
          <w:lang w:eastAsia="en-US"/>
          <w14:ligatures w14:val="standardContextual"/>
        </w:rPr>
        <w:t>обусловленную</w:t>
      </w:r>
      <w:proofErr w:type="gramEnd"/>
      <w:r w:rsidRPr="003277B8">
        <w:rPr>
          <w:rFonts w:eastAsiaTheme="minorHAnsi"/>
          <w:kern w:val="2"/>
          <w:lang w:eastAsia="en-US"/>
          <w14:ligatures w14:val="standardContextual"/>
        </w:rPr>
        <w:t xml:space="preserve"> ТЭЛА, </w:t>
      </w:r>
      <w:proofErr w:type="spellStart"/>
      <w:r w:rsidRPr="003277B8">
        <w:rPr>
          <w:rFonts w:eastAsiaTheme="minorHAnsi"/>
          <w:kern w:val="2"/>
          <w:lang w:eastAsia="en-US"/>
          <w14:ligatures w14:val="standardContextual"/>
        </w:rPr>
        <w:t>кардиореспираторную</w:t>
      </w:r>
      <w:proofErr w:type="spellEnd"/>
      <w:r w:rsidRPr="003277B8">
        <w:rPr>
          <w:rFonts w:eastAsiaTheme="minorHAnsi"/>
          <w:kern w:val="2"/>
          <w:lang w:eastAsia="en-US"/>
          <w14:ligatures w14:val="standardContextual"/>
        </w:rPr>
        <w:t xml:space="preserve"> декомпенсацию или коллапс, либо</w:t>
      </w:r>
    </w:p>
    <w:p w:rsidR="003277B8" w:rsidRPr="003277B8" w:rsidRDefault="003277B8" w:rsidP="003277B8">
      <w:pPr>
        <w:pStyle w:val="a6"/>
        <w:pBdr>
          <w:bottom w:val="single" w:sz="6" w:space="0" w:color="E2E0E1"/>
        </w:pBdr>
        <w:shd w:val="clear" w:color="auto" w:fill="FFFFFF" w:themeFill="background1"/>
        <w:spacing w:before="0" w:beforeAutospacing="0" w:after="0" w:afterAutospacing="0" w:line="360" w:lineRule="auto"/>
        <w:rPr>
          <w:rFonts w:eastAsiaTheme="minorHAnsi"/>
          <w:kern w:val="2"/>
          <w:lang w:eastAsia="en-US"/>
          <w14:ligatures w14:val="standardContextual"/>
        </w:rPr>
      </w:pPr>
      <w:proofErr w:type="gramStart"/>
      <w:r w:rsidRPr="003277B8">
        <w:rPr>
          <w:rFonts w:eastAsiaTheme="minorHAnsi"/>
          <w:kern w:val="2"/>
          <w:lang w:eastAsia="en-US"/>
          <w14:ligatures w14:val="standardContextual"/>
        </w:rPr>
        <w:t>симптоматический</w:t>
      </w:r>
      <w:proofErr w:type="gramEnd"/>
      <w:r w:rsidRPr="003277B8">
        <w:rPr>
          <w:rFonts w:eastAsiaTheme="minorHAnsi"/>
          <w:kern w:val="2"/>
          <w:lang w:eastAsia="en-US"/>
          <w14:ligatures w14:val="standardContextual"/>
        </w:rPr>
        <w:t xml:space="preserve"> рецидив ТЭЛА в течение 7 дней.</w:t>
      </w:r>
    </w:p>
    <w:p w:rsidR="003277B8" w:rsidRPr="003277B8" w:rsidRDefault="003277B8" w:rsidP="003277B8">
      <w:pPr>
        <w:pStyle w:val="a6"/>
        <w:pBdr>
          <w:bottom w:val="single" w:sz="6" w:space="0" w:color="E2E0E1"/>
        </w:pBdr>
        <w:shd w:val="clear" w:color="auto" w:fill="FFFFFF" w:themeFill="background1"/>
        <w:spacing w:before="0" w:beforeAutospacing="0" w:after="0" w:afterAutospacing="0" w:line="360" w:lineRule="auto"/>
        <w:rPr>
          <w:rFonts w:eastAsiaTheme="minorHAnsi"/>
          <w:kern w:val="2"/>
          <w:lang w:eastAsia="en-US"/>
          <w14:ligatures w14:val="standardContextual"/>
        </w:rPr>
      </w:pPr>
      <w:r w:rsidRPr="003277B8">
        <w:rPr>
          <w:rFonts w:eastAsiaTheme="minorHAnsi"/>
          <w:kern w:val="2"/>
          <w:lang w:eastAsia="en-US"/>
          <w14:ligatures w14:val="standardContextual"/>
        </w:rPr>
        <w:t>Популяция «</w:t>
      </w:r>
      <w:proofErr w:type="spellStart"/>
      <w:r w:rsidRPr="003277B8">
        <w:rPr>
          <w:rFonts w:eastAsiaTheme="minorHAnsi"/>
          <w:kern w:val="2"/>
          <w:lang w:eastAsia="en-US"/>
          <w14:ligatures w14:val="standardContextual"/>
        </w:rPr>
        <w:t>intention-to-treat</w:t>
      </w:r>
      <w:proofErr w:type="spellEnd"/>
      <w:r w:rsidRPr="003277B8">
        <w:rPr>
          <w:rFonts w:eastAsiaTheme="minorHAnsi"/>
          <w:kern w:val="2"/>
          <w:lang w:eastAsia="en-US"/>
          <w14:ligatures w14:val="standardContextual"/>
        </w:rPr>
        <w:t>» (анализ по принципу назначенного лечения) составила 544</w:t>
      </w:r>
    </w:p>
    <w:p w:rsidR="003277B8" w:rsidRPr="003277B8" w:rsidRDefault="003277B8" w:rsidP="003277B8">
      <w:pPr>
        <w:pStyle w:val="a6"/>
        <w:pBdr>
          <w:bottom w:val="single" w:sz="6" w:space="0" w:color="E2E0E1"/>
        </w:pBdr>
        <w:shd w:val="clear" w:color="auto" w:fill="FFFFFF" w:themeFill="background1"/>
        <w:spacing w:before="0" w:beforeAutospacing="0" w:after="0" w:afterAutospacing="0" w:line="360" w:lineRule="auto"/>
        <w:rPr>
          <w:rFonts w:eastAsiaTheme="minorHAnsi"/>
          <w:kern w:val="2"/>
          <w:lang w:eastAsia="en-US"/>
          <w14:ligatures w14:val="standardContextual"/>
        </w:rPr>
      </w:pPr>
      <w:proofErr w:type="gramStart"/>
      <w:r w:rsidRPr="003277B8">
        <w:rPr>
          <w:rFonts w:eastAsiaTheme="minorHAnsi"/>
          <w:kern w:val="2"/>
          <w:lang w:eastAsia="en-US"/>
          <w14:ligatures w14:val="standardContextual"/>
        </w:rPr>
        <w:t>пациента</w:t>
      </w:r>
      <w:proofErr w:type="gramEnd"/>
      <w:r w:rsidRPr="003277B8">
        <w:rPr>
          <w:rFonts w:eastAsiaTheme="minorHAnsi"/>
          <w:kern w:val="2"/>
          <w:lang w:eastAsia="en-US"/>
          <w14:ligatures w14:val="standardContextual"/>
        </w:rPr>
        <w:t>: 273 — в группе вмешательства и 271 — в контрольной группе. Средний возраст</w:t>
      </w:r>
    </w:p>
    <w:p w:rsidR="003277B8" w:rsidRPr="003277B8" w:rsidRDefault="003277B8" w:rsidP="003277B8">
      <w:pPr>
        <w:pStyle w:val="a6"/>
        <w:pBdr>
          <w:bottom w:val="single" w:sz="6" w:space="0" w:color="E2E0E1"/>
        </w:pBdr>
        <w:shd w:val="clear" w:color="auto" w:fill="FFFFFF" w:themeFill="background1"/>
        <w:spacing w:before="0" w:beforeAutospacing="0" w:after="0" w:afterAutospacing="0" w:line="360" w:lineRule="auto"/>
        <w:rPr>
          <w:rFonts w:eastAsiaTheme="minorHAnsi"/>
          <w:kern w:val="2"/>
          <w:lang w:eastAsia="en-US"/>
          <w14:ligatures w14:val="standardContextual"/>
        </w:rPr>
      </w:pPr>
      <w:proofErr w:type="gramStart"/>
      <w:r w:rsidRPr="003277B8">
        <w:rPr>
          <w:rFonts w:eastAsiaTheme="minorHAnsi"/>
          <w:kern w:val="2"/>
          <w:lang w:eastAsia="en-US"/>
          <w14:ligatures w14:val="standardContextual"/>
        </w:rPr>
        <w:t>составил</w:t>
      </w:r>
      <w:proofErr w:type="gramEnd"/>
      <w:r w:rsidRPr="003277B8">
        <w:rPr>
          <w:rFonts w:eastAsiaTheme="minorHAnsi"/>
          <w:kern w:val="2"/>
          <w:lang w:eastAsia="en-US"/>
          <w14:ligatures w14:val="standardContextual"/>
        </w:rPr>
        <w:t xml:space="preserve"> 58,2±13,5 лет; 42,6% пациентов составляли женщины. Событие,</w:t>
      </w:r>
    </w:p>
    <w:p w:rsidR="003277B8" w:rsidRPr="003277B8" w:rsidRDefault="003277B8" w:rsidP="003277B8">
      <w:pPr>
        <w:pStyle w:val="a6"/>
        <w:pBdr>
          <w:bottom w:val="single" w:sz="6" w:space="0" w:color="E2E0E1"/>
        </w:pBdr>
        <w:shd w:val="clear" w:color="auto" w:fill="FFFFFF" w:themeFill="background1"/>
        <w:spacing w:before="0" w:beforeAutospacing="0" w:after="0" w:afterAutospacing="0" w:line="360" w:lineRule="auto"/>
        <w:rPr>
          <w:rFonts w:eastAsiaTheme="minorHAnsi"/>
          <w:kern w:val="2"/>
          <w:lang w:eastAsia="en-US"/>
          <w14:ligatures w14:val="standardContextual"/>
        </w:rPr>
      </w:pPr>
      <w:proofErr w:type="gramStart"/>
      <w:r w:rsidRPr="003277B8">
        <w:rPr>
          <w:rFonts w:eastAsiaTheme="minorHAnsi"/>
          <w:kern w:val="2"/>
          <w:lang w:eastAsia="en-US"/>
          <w14:ligatures w14:val="standardContextual"/>
        </w:rPr>
        <w:t>соответствующее</w:t>
      </w:r>
      <w:proofErr w:type="gramEnd"/>
      <w:r w:rsidRPr="003277B8">
        <w:rPr>
          <w:rFonts w:eastAsiaTheme="minorHAnsi"/>
          <w:kern w:val="2"/>
          <w:lang w:eastAsia="en-US"/>
          <w14:ligatures w14:val="standardContextual"/>
        </w:rPr>
        <w:t xml:space="preserve"> первичной конечной точке, было </w:t>
      </w:r>
      <w:r>
        <w:rPr>
          <w:rFonts w:eastAsiaTheme="minorHAnsi"/>
          <w:kern w:val="2"/>
          <w:lang w:eastAsia="en-US"/>
          <w14:ligatures w14:val="standardContextual"/>
        </w:rPr>
        <w:t>зарегистрировано у 11 пациентов</w:t>
      </w:r>
    </w:p>
    <w:p w:rsidR="003277B8" w:rsidRPr="003277B8" w:rsidRDefault="003277B8" w:rsidP="003277B8">
      <w:pPr>
        <w:pStyle w:val="a6"/>
        <w:pBdr>
          <w:bottom w:val="single" w:sz="6" w:space="0" w:color="E2E0E1"/>
        </w:pBdr>
        <w:shd w:val="clear" w:color="auto" w:fill="FFFFFF" w:themeFill="background1"/>
        <w:spacing w:before="0" w:beforeAutospacing="0" w:after="0" w:afterAutospacing="0" w:line="360" w:lineRule="auto"/>
        <w:rPr>
          <w:rFonts w:eastAsiaTheme="minorHAnsi"/>
          <w:kern w:val="2"/>
          <w:lang w:eastAsia="en-US"/>
          <w14:ligatures w14:val="standardContextual"/>
        </w:rPr>
      </w:pPr>
      <w:r w:rsidRPr="003277B8">
        <w:rPr>
          <w:rFonts w:eastAsiaTheme="minorHAnsi"/>
          <w:kern w:val="2"/>
          <w:lang w:eastAsia="en-US"/>
          <w14:ligatures w14:val="standardContextual"/>
        </w:rPr>
        <w:t>(4,0%; 95% доверительный интервал [ДИ]: 2,3–7,1) в группе вмешательства и у 28</w:t>
      </w:r>
    </w:p>
    <w:p w:rsidR="003277B8" w:rsidRPr="003277B8" w:rsidRDefault="003277B8" w:rsidP="003277B8">
      <w:pPr>
        <w:pStyle w:val="a6"/>
        <w:pBdr>
          <w:bottom w:val="single" w:sz="6" w:space="0" w:color="E2E0E1"/>
        </w:pBdr>
        <w:shd w:val="clear" w:color="auto" w:fill="FFFFFF" w:themeFill="background1"/>
        <w:spacing w:before="0" w:beforeAutospacing="0" w:after="0" w:afterAutospacing="0" w:line="360" w:lineRule="auto"/>
        <w:rPr>
          <w:rFonts w:eastAsiaTheme="minorHAnsi"/>
          <w:kern w:val="2"/>
          <w:lang w:eastAsia="en-US"/>
          <w14:ligatures w14:val="standardContextual"/>
        </w:rPr>
      </w:pPr>
      <w:proofErr w:type="gramStart"/>
      <w:r w:rsidRPr="003277B8">
        <w:rPr>
          <w:rFonts w:eastAsiaTheme="minorHAnsi"/>
          <w:kern w:val="2"/>
          <w:lang w:eastAsia="en-US"/>
          <w14:ligatures w14:val="standardContextual"/>
        </w:rPr>
        <w:lastRenderedPageBreak/>
        <w:t>пациентов</w:t>
      </w:r>
      <w:proofErr w:type="gramEnd"/>
      <w:r w:rsidRPr="003277B8">
        <w:rPr>
          <w:rFonts w:eastAsiaTheme="minorHAnsi"/>
          <w:kern w:val="2"/>
          <w:lang w:eastAsia="en-US"/>
          <w14:ligatures w14:val="standardContextual"/>
        </w:rPr>
        <w:t xml:space="preserve"> (10,3%; 95% ДИ: 7,2–14,5) в контрольной группе (относительный риск: 0,39;</w:t>
      </w:r>
    </w:p>
    <w:p w:rsidR="003277B8" w:rsidRPr="003277B8" w:rsidRDefault="003277B8" w:rsidP="003277B8">
      <w:pPr>
        <w:pStyle w:val="a6"/>
        <w:pBdr>
          <w:bottom w:val="single" w:sz="6" w:space="0" w:color="E2E0E1"/>
        </w:pBdr>
        <w:shd w:val="clear" w:color="auto" w:fill="FFFFFF" w:themeFill="background1"/>
        <w:spacing w:before="0" w:beforeAutospacing="0" w:after="0" w:afterAutospacing="0" w:line="360" w:lineRule="auto"/>
        <w:rPr>
          <w:rFonts w:eastAsiaTheme="minorHAnsi"/>
          <w:kern w:val="2"/>
          <w:lang w:eastAsia="en-US"/>
          <w14:ligatures w14:val="standardContextual"/>
        </w:rPr>
      </w:pPr>
      <w:r w:rsidRPr="003277B8">
        <w:rPr>
          <w:rFonts w:eastAsiaTheme="minorHAnsi"/>
          <w:kern w:val="2"/>
          <w:lang w:eastAsia="en-US"/>
          <w14:ligatures w14:val="standardContextual"/>
        </w:rPr>
        <w:t>95% ДИ: 0,20–0,77; P=0,005). Данный эффект был обусловлен преимущественно более</w:t>
      </w:r>
    </w:p>
    <w:p w:rsidR="003277B8" w:rsidRPr="003277B8" w:rsidRDefault="003277B8" w:rsidP="003277B8">
      <w:pPr>
        <w:pStyle w:val="a6"/>
        <w:pBdr>
          <w:bottom w:val="single" w:sz="6" w:space="0" w:color="E2E0E1"/>
        </w:pBdr>
        <w:shd w:val="clear" w:color="auto" w:fill="FFFFFF" w:themeFill="background1"/>
        <w:spacing w:before="0" w:beforeAutospacing="0" w:after="0" w:afterAutospacing="0" w:line="360" w:lineRule="auto"/>
        <w:rPr>
          <w:rFonts w:eastAsiaTheme="minorHAnsi"/>
          <w:kern w:val="2"/>
          <w:lang w:eastAsia="en-US"/>
          <w14:ligatures w14:val="standardContextual"/>
        </w:rPr>
      </w:pPr>
      <w:proofErr w:type="gramStart"/>
      <w:r w:rsidRPr="003277B8">
        <w:rPr>
          <w:rFonts w:eastAsiaTheme="minorHAnsi"/>
          <w:kern w:val="2"/>
          <w:lang w:eastAsia="en-US"/>
          <w14:ligatures w14:val="standardContextual"/>
        </w:rPr>
        <w:t>низким</w:t>
      </w:r>
      <w:proofErr w:type="gramEnd"/>
      <w:r w:rsidRPr="003277B8">
        <w:rPr>
          <w:rFonts w:eastAsiaTheme="minorHAnsi"/>
          <w:kern w:val="2"/>
          <w:lang w:eastAsia="en-US"/>
          <w14:ligatures w14:val="standardContextual"/>
        </w:rPr>
        <w:t xml:space="preserve"> риском развития </w:t>
      </w:r>
      <w:proofErr w:type="spellStart"/>
      <w:r w:rsidRPr="003277B8">
        <w:rPr>
          <w:rFonts w:eastAsiaTheme="minorHAnsi"/>
          <w:kern w:val="2"/>
          <w:lang w:eastAsia="en-US"/>
          <w14:ligatures w14:val="standardContextual"/>
        </w:rPr>
        <w:t>кардиореспираторной</w:t>
      </w:r>
      <w:proofErr w:type="spellEnd"/>
      <w:r w:rsidRPr="003277B8">
        <w:rPr>
          <w:rFonts w:eastAsiaTheme="minorHAnsi"/>
          <w:kern w:val="2"/>
          <w:lang w:eastAsia="en-US"/>
          <w14:ligatures w14:val="standardContextual"/>
        </w:rPr>
        <w:t xml:space="preserve"> декомпенсации или коллапса в группе</w:t>
      </w:r>
    </w:p>
    <w:p w:rsidR="003277B8" w:rsidRPr="003277B8" w:rsidRDefault="003277B8" w:rsidP="003277B8">
      <w:pPr>
        <w:pStyle w:val="a6"/>
        <w:pBdr>
          <w:bottom w:val="single" w:sz="6" w:space="0" w:color="E2E0E1"/>
        </w:pBdr>
        <w:shd w:val="clear" w:color="auto" w:fill="FFFFFF" w:themeFill="background1"/>
        <w:spacing w:before="0" w:beforeAutospacing="0" w:after="0" w:afterAutospacing="0" w:line="360" w:lineRule="auto"/>
        <w:rPr>
          <w:rFonts w:eastAsiaTheme="minorHAnsi"/>
          <w:kern w:val="2"/>
          <w:lang w:eastAsia="en-US"/>
          <w14:ligatures w14:val="standardContextual"/>
        </w:rPr>
      </w:pPr>
      <w:proofErr w:type="gramStart"/>
      <w:r w:rsidRPr="003277B8">
        <w:rPr>
          <w:rFonts w:eastAsiaTheme="minorHAnsi"/>
          <w:kern w:val="2"/>
          <w:lang w:eastAsia="en-US"/>
          <w14:ligatures w14:val="standardContextual"/>
        </w:rPr>
        <w:t>вмешательства</w:t>
      </w:r>
      <w:proofErr w:type="gramEnd"/>
      <w:r w:rsidRPr="003277B8">
        <w:rPr>
          <w:rFonts w:eastAsiaTheme="minorHAnsi"/>
          <w:kern w:val="2"/>
          <w:lang w:eastAsia="en-US"/>
          <w14:ligatures w14:val="standardContextual"/>
        </w:rPr>
        <w:t xml:space="preserve"> без каких-либо различий по смертности и рецидива ТЭЛА. Крупные</w:t>
      </w:r>
    </w:p>
    <w:p w:rsidR="003277B8" w:rsidRPr="003277B8" w:rsidRDefault="003277B8" w:rsidP="003277B8">
      <w:pPr>
        <w:pStyle w:val="a6"/>
        <w:pBdr>
          <w:bottom w:val="single" w:sz="6" w:space="0" w:color="E2E0E1"/>
        </w:pBdr>
        <w:shd w:val="clear" w:color="auto" w:fill="FFFFFF" w:themeFill="background1"/>
        <w:spacing w:before="0" w:beforeAutospacing="0" w:after="0" w:afterAutospacing="0" w:line="360" w:lineRule="auto"/>
        <w:rPr>
          <w:rFonts w:eastAsiaTheme="minorHAnsi"/>
          <w:kern w:val="2"/>
          <w:lang w:eastAsia="en-US"/>
          <w14:ligatures w14:val="standardContextual"/>
        </w:rPr>
      </w:pPr>
      <w:proofErr w:type="gramStart"/>
      <w:r w:rsidRPr="003277B8">
        <w:rPr>
          <w:rFonts w:eastAsiaTheme="minorHAnsi"/>
          <w:kern w:val="2"/>
          <w:lang w:eastAsia="en-US"/>
          <w14:ligatures w14:val="standardContextual"/>
        </w:rPr>
        <w:t>кровотечения</w:t>
      </w:r>
      <w:proofErr w:type="gramEnd"/>
      <w:r w:rsidRPr="003277B8">
        <w:rPr>
          <w:rFonts w:eastAsiaTheme="minorHAnsi"/>
          <w:kern w:val="2"/>
          <w:lang w:eastAsia="en-US"/>
          <w14:ligatures w14:val="standardContextual"/>
        </w:rPr>
        <w:t xml:space="preserve"> в течение 7 дней после рандомизации возникли у 11 пациентов (4,1%) в</w:t>
      </w:r>
    </w:p>
    <w:p w:rsidR="003277B8" w:rsidRPr="003277B8" w:rsidRDefault="003277B8" w:rsidP="003277B8">
      <w:pPr>
        <w:pStyle w:val="a6"/>
        <w:pBdr>
          <w:bottom w:val="single" w:sz="6" w:space="0" w:color="E2E0E1"/>
        </w:pBdr>
        <w:shd w:val="clear" w:color="auto" w:fill="FFFFFF" w:themeFill="background1"/>
        <w:spacing w:before="0" w:beforeAutospacing="0" w:after="0" w:afterAutospacing="0" w:line="360" w:lineRule="auto"/>
        <w:rPr>
          <w:rFonts w:eastAsiaTheme="minorHAnsi"/>
          <w:kern w:val="2"/>
          <w:lang w:eastAsia="en-US"/>
          <w14:ligatures w14:val="standardContextual"/>
        </w:rPr>
      </w:pPr>
      <w:proofErr w:type="gramStart"/>
      <w:r w:rsidRPr="003277B8">
        <w:rPr>
          <w:rFonts w:eastAsiaTheme="minorHAnsi"/>
          <w:kern w:val="2"/>
          <w:lang w:eastAsia="en-US"/>
          <w14:ligatures w14:val="standardContextual"/>
        </w:rPr>
        <w:t>группе</w:t>
      </w:r>
      <w:proofErr w:type="gramEnd"/>
      <w:r w:rsidRPr="003277B8">
        <w:rPr>
          <w:rFonts w:eastAsiaTheme="minorHAnsi"/>
          <w:kern w:val="2"/>
          <w:lang w:eastAsia="en-US"/>
          <w14:ligatures w14:val="standardContextual"/>
        </w:rPr>
        <w:t xml:space="preserve"> вмешательства и у 6 пациентов (2,2%) в контрольной группе (P=0,32); Крупные</w:t>
      </w:r>
    </w:p>
    <w:p w:rsidR="003277B8" w:rsidRPr="003277B8" w:rsidRDefault="003277B8" w:rsidP="003277B8">
      <w:pPr>
        <w:pStyle w:val="a6"/>
        <w:pBdr>
          <w:bottom w:val="single" w:sz="6" w:space="0" w:color="E2E0E1"/>
        </w:pBdr>
        <w:shd w:val="clear" w:color="auto" w:fill="FFFFFF" w:themeFill="background1"/>
        <w:spacing w:before="0" w:beforeAutospacing="0" w:after="0" w:afterAutospacing="0" w:line="360" w:lineRule="auto"/>
        <w:rPr>
          <w:rFonts w:eastAsiaTheme="minorHAnsi"/>
          <w:kern w:val="2"/>
          <w:lang w:eastAsia="en-US"/>
          <w14:ligatures w14:val="standardContextual"/>
        </w:rPr>
      </w:pPr>
      <w:proofErr w:type="gramStart"/>
      <w:r w:rsidRPr="003277B8">
        <w:rPr>
          <w:rFonts w:eastAsiaTheme="minorHAnsi"/>
          <w:kern w:val="2"/>
          <w:lang w:eastAsia="en-US"/>
          <w14:ligatures w14:val="standardContextual"/>
        </w:rPr>
        <w:t>кровотечения</w:t>
      </w:r>
      <w:proofErr w:type="gramEnd"/>
      <w:r w:rsidRPr="003277B8">
        <w:rPr>
          <w:rFonts w:eastAsiaTheme="minorHAnsi"/>
          <w:kern w:val="2"/>
          <w:lang w:eastAsia="en-US"/>
          <w14:ligatures w14:val="standardContextual"/>
        </w:rPr>
        <w:t xml:space="preserve"> в течение 30 дней наблюдались у 11 пациентов (4,1%) и 8 пациентов (3,0%)</w:t>
      </w:r>
    </w:p>
    <w:p w:rsidR="003277B8" w:rsidRPr="003277B8" w:rsidRDefault="003277B8" w:rsidP="003277B8">
      <w:pPr>
        <w:pStyle w:val="a6"/>
        <w:pBdr>
          <w:bottom w:val="single" w:sz="6" w:space="0" w:color="E2E0E1"/>
        </w:pBdr>
        <w:shd w:val="clear" w:color="auto" w:fill="FFFFFF" w:themeFill="background1"/>
        <w:spacing w:before="0" w:beforeAutospacing="0" w:after="0" w:afterAutospacing="0" w:line="360" w:lineRule="auto"/>
        <w:rPr>
          <w:rFonts w:eastAsiaTheme="minorHAnsi"/>
          <w:kern w:val="2"/>
          <w:lang w:eastAsia="en-US"/>
          <w14:ligatures w14:val="standardContextual"/>
        </w:rPr>
      </w:pPr>
      <w:proofErr w:type="gramStart"/>
      <w:r w:rsidRPr="003277B8">
        <w:rPr>
          <w:rFonts w:eastAsiaTheme="minorHAnsi"/>
          <w:kern w:val="2"/>
          <w:lang w:eastAsia="en-US"/>
          <w14:ligatures w14:val="standardContextual"/>
        </w:rPr>
        <w:t>соответственно</w:t>
      </w:r>
      <w:proofErr w:type="gramEnd"/>
      <w:r w:rsidRPr="003277B8">
        <w:rPr>
          <w:rFonts w:eastAsiaTheme="minorHAnsi"/>
          <w:kern w:val="2"/>
          <w:lang w:eastAsia="en-US"/>
          <w14:ligatures w14:val="standardContextual"/>
        </w:rPr>
        <w:t xml:space="preserve"> (P=0,64). Существенных различий между группами по частоте других</w:t>
      </w:r>
    </w:p>
    <w:p w:rsidR="003277B8" w:rsidRPr="003277B8" w:rsidRDefault="003277B8" w:rsidP="003277B8">
      <w:pPr>
        <w:pStyle w:val="a6"/>
        <w:pBdr>
          <w:bottom w:val="single" w:sz="6" w:space="0" w:color="E2E0E1"/>
        </w:pBdr>
        <w:shd w:val="clear" w:color="auto" w:fill="FFFFFF" w:themeFill="background1"/>
        <w:spacing w:before="0" w:beforeAutospacing="0" w:after="0" w:afterAutospacing="0" w:line="360" w:lineRule="auto"/>
        <w:rPr>
          <w:rFonts w:eastAsiaTheme="minorHAnsi"/>
          <w:kern w:val="2"/>
          <w:lang w:eastAsia="en-US"/>
          <w14:ligatures w14:val="standardContextual"/>
        </w:rPr>
      </w:pPr>
      <w:proofErr w:type="gramStart"/>
      <w:r w:rsidRPr="003277B8">
        <w:rPr>
          <w:rFonts w:eastAsiaTheme="minorHAnsi"/>
          <w:kern w:val="2"/>
          <w:lang w:eastAsia="en-US"/>
          <w14:ligatures w14:val="standardContextual"/>
        </w:rPr>
        <w:t>серьезных</w:t>
      </w:r>
      <w:proofErr w:type="gramEnd"/>
      <w:r w:rsidRPr="003277B8">
        <w:rPr>
          <w:rFonts w:eastAsiaTheme="minorHAnsi"/>
          <w:kern w:val="2"/>
          <w:lang w:eastAsia="en-US"/>
          <w14:ligatures w14:val="standardContextual"/>
        </w:rPr>
        <w:t xml:space="preserve"> нежелательных явлений (в том числе смерти от всех причин и рецидива ТЭЛА)</w:t>
      </w:r>
    </w:p>
    <w:p w:rsidR="003277B8" w:rsidRPr="003277B8" w:rsidRDefault="003277B8" w:rsidP="003277B8">
      <w:pPr>
        <w:pStyle w:val="a6"/>
        <w:pBdr>
          <w:bottom w:val="single" w:sz="6" w:space="0" w:color="E2E0E1"/>
        </w:pBdr>
        <w:shd w:val="clear" w:color="auto" w:fill="FFFFFF" w:themeFill="background1"/>
        <w:spacing w:before="0" w:beforeAutospacing="0" w:after="0" w:afterAutospacing="0" w:line="360" w:lineRule="auto"/>
        <w:rPr>
          <w:rFonts w:eastAsiaTheme="minorHAnsi"/>
          <w:kern w:val="2"/>
          <w:lang w:eastAsia="en-US"/>
          <w14:ligatures w14:val="standardContextual"/>
        </w:rPr>
      </w:pPr>
      <w:proofErr w:type="gramStart"/>
      <w:r w:rsidRPr="003277B8">
        <w:rPr>
          <w:rFonts w:eastAsiaTheme="minorHAnsi"/>
          <w:kern w:val="2"/>
          <w:lang w:eastAsia="en-US"/>
          <w14:ligatures w14:val="standardContextual"/>
        </w:rPr>
        <w:t>в</w:t>
      </w:r>
      <w:proofErr w:type="gramEnd"/>
      <w:r w:rsidRPr="003277B8">
        <w:rPr>
          <w:rFonts w:eastAsiaTheme="minorHAnsi"/>
          <w:kern w:val="2"/>
          <w:lang w:eastAsia="en-US"/>
          <w14:ligatures w14:val="standardContextual"/>
        </w:rPr>
        <w:t xml:space="preserve"> течение 30 дней после рандомизации не наблюдалось; внутричерепных кровоизлияний</w:t>
      </w:r>
    </w:p>
    <w:p w:rsidR="003277B8" w:rsidRPr="003277B8" w:rsidRDefault="003277B8" w:rsidP="003277B8">
      <w:pPr>
        <w:pStyle w:val="a6"/>
        <w:pBdr>
          <w:bottom w:val="single" w:sz="6" w:space="0" w:color="E2E0E1"/>
        </w:pBdr>
        <w:shd w:val="clear" w:color="auto" w:fill="FFFFFF" w:themeFill="background1"/>
        <w:spacing w:before="0" w:beforeAutospacing="0" w:after="0" w:afterAutospacing="0" w:line="360" w:lineRule="auto"/>
        <w:rPr>
          <w:rFonts w:eastAsiaTheme="minorHAnsi"/>
          <w:kern w:val="2"/>
          <w:lang w:eastAsia="en-US"/>
          <w14:ligatures w14:val="standardContextual"/>
        </w:rPr>
      </w:pPr>
      <w:proofErr w:type="gramStart"/>
      <w:r w:rsidRPr="003277B8">
        <w:rPr>
          <w:rFonts w:eastAsiaTheme="minorHAnsi"/>
          <w:kern w:val="2"/>
          <w:lang w:eastAsia="en-US"/>
          <w14:ligatures w14:val="standardContextual"/>
        </w:rPr>
        <w:t>не</w:t>
      </w:r>
      <w:proofErr w:type="gramEnd"/>
      <w:r w:rsidRPr="003277B8">
        <w:rPr>
          <w:rFonts w:eastAsiaTheme="minorHAnsi"/>
          <w:kern w:val="2"/>
          <w:lang w:eastAsia="en-US"/>
          <w14:ligatures w14:val="standardContextual"/>
        </w:rPr>
        <w:t xml:space="preserve"> было.</w:t>
      </w:r>
      <w:r>
        <w:rPr>
          <w:rFonts w:eastAsiaTheme="minorHAnsi"/>
          <w:kern w:val="2"/>
          <w:lang w:eastAsia="en-US"/>
          <w14:ligatures w14:val="standardContextual"/>
        </w:rPr>
        <w:t xml:space="preserve"> Следует обратить внимание, что в группе антикоагулянтов была выше потребность в «спасительной» </w:t>
      </w:r>
      <w:proofErr w:type="spellStart"/>
      <w:r>
        <w:rPr>
          <w:rFonts w:eastAsiaTheme="minorHAnsi"/>
          <w:kern w:val="2"/>
          <w:lang w:eastAsia="en-US"/>
          <w14:ligatures w14:val="standardContextual"/>
        </w:rPr>
        <w:t>реперфузионной</w:t>
      </w:r>
      <w:proofErr w:type="spellEnd"/>
      <w:r>
        <w:rPr>
          <w:rFonts w:eastAsiaTheme="minorHAnsi"/>
          <w:kern w:val="2"/>
          <w:lang w:eastAsia="en-US"/>
          <w14:ligatures w14:val="standardContextual"/>
        </w:rPr>
        <w:t xml:space="preserve"> терапии (однако в группе УЗИ-</w:t>
      </w:r>
      <w:proofErr w:type="spellStart"/>
      <w:r>
        <w:rPr>
          <w:rFonts w:eastAsiaTheme="minorHAnsi"/>
          <w:kern w:val="2"/>
          <w:lang w:eastAsia="en-US"/>
          <w14:ligatures w14:val="standardContextual"/>
        </w:rPr>
        <w:t>ассистированного</w:t>
      </w:r>
      <w:proofErr w:type="spellEnd"/>
      <w:r>
        <w:rPr>
          <w:rFonts w:eastAsiaTheme="minorHAnsi"/>
          <w:kern w:val="2"/>
          <w:lang w:eastAsia="en-US"/>
          <w14:ligatures w14:val="standardContextual"/>
        </w:rPr>
        <w:t xml:space="preserve"> </w:t>
      </w:r>
      <w:proofErr w:type="spellStart"/>
      <w:r>
        <w:rPr>
          <w:rFonts w:eastAsiaTheme="minorHAnsi"/>
          <w:kern w:val="2"/>
          <w:lang w:eastAsia="en-US"/>
          <w14:ligatures w14:val="standardContextual"/>
        </w:rPr>
        <w:t>тромболизиса</w:t>
      </w:r>
      <w:proofErr w:type="spellEnd"/>
      <w:r>
        <w:rPr>
          <w:rFonts w:eastAsiaTheme="minorHAnsi"/>
          <w:kern w:val="2"/>
          <w:lang w:eastAsia="en-US"/>
          <w14:ligatures w14:val="standardContextual"/>
        </w:rPr>
        <w:t xml:space="preserve"> эта потребность также не была равна нулю). </w:t>
      </w:r>
    </w:p>
    <w:p w:rsidR="003277B8" w:rsidRPr="003277B8" w:rsidRDefault="003277B8" w:rsidP="003277B8">
      <w:pPr>
        <w:pStyle w:val="a6"/>
        <w:pBdr>
          <w:bottom w:val="single" w:sz="6" w:space="0" w:color="E2E0E1"/>
        </w:pBdr>
        <w:shd w:val="clear" w:color="auto" w:fill="FFFFFF" w:themeFill="background1"/>
        <w:spacing w:before="0" w:beforeAutospacing="0" w:after="0" w:afterAutospacing="0" w:line="360" w:lineRule="auto"/>
        <w:ind w:firstLine="708"/>
        <w:rPr>
          <w:rFonts w:eastAsiaTheme="minorHAnsi"/>
          <w:kern w:val="2"/>
          <w:lang w:eastAsia="en-US"/>
          <w14:ligatures w14:val="standardContextual"/>
        </w:rPr>
      </w:pPr>
      <w:proofErr w:type="spellStart"/>
      <w:r w:rsidRPr="003277B8">
        <w:rPr>
          <w:rFonts w:eastAsiaTheme="minorHAnsi"/>
          <w:kern w:val="2"/>
          <w:lang w:eastAsia="en-US"/>
          <w14:ligatures w14:val="standardContextual"/>
        </w:rPr>
        <w:t>Т.о</w:t>
      </w:r>
      <w:proofErr w:type="spellEnd"/>
      <w:r w:rsidRPr="003277B8">
        <w:rPr>
          <w:rFonts w:eastAsiaTheme="minorHAnsi"/>
          <w:kern w:val="2"/>
          <w:lang w:eastAsia="en-US"/>
          <w14:ligatures w14:val="standardContextual"/>
        </w:rPr>
        <w:t>., у пациентов с острой ТЭЛА промежуточно-высокого риска УЗИ-</w:t>
      </w:r>
    </w:p>
    <w:p w:rsidR="003277B8" w:rsidRPr="003277B8" w:rsidRDefault="003277B8" w:rsidP="003277B8">
      <w:pPr>
        <w:pStyle w:val="a6"/>
        <w:pBdr>
          <w:bottom w:val="single" w:sz="6" w:space="0" w:color="E2E0E1"/>
        </w:pBdr>
        <w:shd w:val="clear" w:color="auto" w:fill="FFFFFF" w:themeFill="background1"/>
        <w:spacing w:before="0" w:beforeAutospacing="0" w:after="0" w:afterAutospacing="0" w:line="360" w:lineRule="auto"/>
        <w:rPr>
          <w:rFonts w:eastAsiaTheme="minorHAnsi"/>
          <w:kern w:val="2"/>
          <w:lang w:eastAsia="en-US"/>
          <w14:ligatures w14:val="standardContextual"/>
        </w:rPr>
      </w:pPr>
      <w:proofErr w:type="spellStart"/>
      <w:proofErr w:type="gramStart"/>
      <w:r w:rsidRPr="003277B8">
        <w:rPr>
          <w:rFonts w:eastAsiaTheme="minorHAnsi"/>
          <w:kern w:val="2"/>
          <w:lang w:eastAsia="en-US"/>
          <w14:ligatures w14:val="standardContextual"/>
        </w:rPr>
        <w:t>ассистированый</w:t>
      </w:r>
      <w:proofErr w:type="spellEnd"/>
      <w:proofErr w:type="gramEnd"/>
      <w:r w:rsidRPr="003277B8">
        <w:rPr>
          <w:rFonts w:eastAsiaTheme="minorHAnsi"/>
          <w:kern w:val="2"/>
          <w:lang w:eastAsia="en-US"/>
          <w14:ligatures w14:val="standardContextual"/>
        </w:rPr>
        <w:t xml:space="preserve"> </w:t>
      </w:r>
      <w:proofErr w:type="spellStart"/>
      <w:r w:rsidRPr="003277B8">
        <w:rPr>
          <w:rFonts w:eastAsiaTheme="minorHAnsi"/>
          <w:kern w:val="2"/>
          <w:lang w:eastAsia="en-US"/>
          <w14:ligatures w14:val="standardContextual"/>
        </w:rPr>
        <w:t>катетерный</w:t>
      </w:r>
      <w:proofErr w:type="spellEnd"/>
      <w:r w:rsidRPr="003277B8">
        <w:rPr>
          <w:rFonts w:eastAsiaTheme="minorHAnsi"/>
          <w:kern w:val="2"/>
          <w:lang w:eastAsia="en-US"/>
          <w14:ligatures w14:val="standardContextual"/>
        </w:rPr>
        <w:t xml:space="preserve"> </w:t>
      </w:r>
      <w:proofErr w:type="spellStart"/>
      <w:r w:rsidRPr="003277B8">
        <w:rPr>
          <w:rFonts w:eastAsiaTheme="minorHAnsi"/>
          <w:kern w:val="2"/>
          <w:lang w:eastAsia="en-US"/>
          <w14:ligatures w14:val="standardContextual"/>
        </w:rPr>
        <w:t>тромболизис</w:t>
      </w:r>
      <w:proofErr w:type="spellEnd"/>
      <w:r w:rsidRPr="003277B8">
        <w:rPr>
          <w:rFonts w:eastAsiaTheme="minorHAnsi"/>
          <w:kern w:val="2"/>
          <w:lang w:eastAsia="en-US"/>
          <w14:ligatures w14:val="standardContextual"/>
        </w:rPr>
        <w:t xml:space="preserve"> в сочетании с </w:t>
      </w:r>
      <w:proofErr w:type="spellStart"/>
      <w:r w:rsidRPr="003277B8">
        <w:rPr>
          <w:rFonts w:eastAsiaTheme="minorHAnsi"/>
          <w:kern w:val="2"/>
          <w:lang w:eastAsia="en-US"/>
          <w14:ligatures w14:val="standardContextual"/>
        </w:rPr>
        <w:t>антикоагуляцией</w:t>
      </w:r>
      <w:proofErr w:type="spellEnd"/>
      <w:r w:rsidRPr="003277B8">
        <w:rPr>
          <w:rFonts w:eastAsiaTheme="minorHAnsi"/>
          <w:kern w:val="2"/>
          <w:lang w:eastAsia="en-US"/>
          <w14:ligatures w14:val="standardContextual"/>
        </w:rPr>
        <w:t xml:space="preserve"> приводил к более</w:t>
      </w:r>
    </w:p>
    <w:p w:rsidR="003277B8" w:rsidRPr="003277B8" w:rsidRDefault="003277B8" w:rsidP="003277B8">
      <w:pPr>
        <w:pStyle w:val="a6"/>
        <w:pBdr>
          <w:bottom w:val="single" w:sz="6" w:space="0" w:color="E2E0E1"/>
        </w:pBdr>
        <w:shd w:val="clear" w:color="auto" w:fill="FFFFFF" w:themeFill="background1"/>
        <w:spacing w:before="0" w:beforeAutospacing="0" w:after="0" w:afterAutospacing="0" w:line="360" w:lineRule="auto"/>
        <w:rPr>
          <w:rFonts w:eastAsiaTheme="minorHAnsi"/>
          <w:kern w:val="2"/>
          <w:lang w:eastAsia="en-US"/>
          <w14:ligatures w14:val="standardContextual"/>
        </w:rPr>
      </w:pPr>
      <w:proofErr w:type="gramStart"/>
      <w:r w:rsidRPr="003277B8">
        <w:rPr>
          <w:rFonts w:eastAsiaTheme="minorHAnsi"/>
          <w:kern w:val="2"/>
          <w:lang w:eastAsia="en-US"/>
          <w14:ligatures w14:val="standardContextual"/>
        </w:rPr>
        <w:t>низкому</w:t>
      </w:r>
      <w:proofErr w:type="gramEnd"/>
      <w:r w:rsidRPr="003277B8">
        <w:rPr>
          <w:rFonts w:eastAsiaTheme="minorHAnsi"/>
          <w:kern w:val="2"/>
          <w:lang w:eastAsia="en-US"/>
          <w14:ligatures w14:val="standardContextual"/>
        </w:rPr>
        <w:t xml:space="preserve"> риску комбинированного исхода, включающего смерть от легочной эмболии,</w:t>
      </w:r>
    </w:p>
    <w:p w:rsidR="003277B8" w:rsidRPr="003277B8" w:rsidRDefault="003277B8" w:rsidP="003277B8">
      <w:pPr>
        <w:pStyle w:val="a6"/>
        <w:pBdr>
          <w:bottom w:val="single" w:sz="6" w:space="0" w:color="E2E0E1"/>
        </w:pBdr>
        <w:shd w:val="clear" w:color="auto" w:fill="FFFFFF" w:themeFill="background1"/>
        <w:spacing w:before="0" w:beforeAutospacing="0" w:after="0" w:afterAutospacing="0" w:line="360" w:lineRule="auto"/>
        <w:rPr>
          <w:rFonts w:eastAsiaTheme="minorHAnsi"/>
          <w:kern w:val="2"/>
          <w:lang w:eastAsia="en-US"/>
          <w14:ligatures w14:val="standardContextual"/>
        </w:rPr>
      </w:pPr>
      <w:proofErr w:type="gramStart"/>
      <w:r w:rsidRPr="003277B8">
        <w:rPr>
          <w:rFonts w:eastAsiaTheme="minorHAnsi"/>
          <w:kern w:val="2"/>
          <w:lang w:eastAsia="en-US"/>
          <w14:ligatures w14:val="standardContextual"/>
        </w:rPr>
        <w:t>кардиопульмональную</w:t>
      </w:r>
      <w:proofErr w:type="gramEnd"/>
      <w:r w:rsidRPr="003277B8">
        <w:rPr>
          <w:rFonts w:eastAsiaTheme="minorHAnsi"/>
          <w:kern w:val="2"/>
          <w:lang w:eastAsia="en-US"/>
          <w14:ligatures w14:val="standardContextual"/>
        </w:rPr>
        <w:t xml:space="preserve"> декомпенсацию или коллапс, или симптоматический рецидив</w:t>
      </w:r>
    </w:p>
    <w:p w:rsidR="003277B8" w:rsidRPr="003277B8" w:rsidRDefault="003277B8" w:rsidP="003277B8">
      <w:pPr>
        <w:pStyle w:val="a6"/>
        <w:pBdr>
          <w:bottom w:val="single" w:sz="6" w:space="0" w:color="E2E0E1"/>
        </w:pBdr>
        <w:shd w:val="clear" w:color="auto" w:fill="FFFFFF" w:themeFill="background1"/>
        <w:spacing w:before="0" w:beforeAutospacing="0" w:after="0" w:afterAutospacing="0" w:line="360" w:lineRule="auto"/>
        <w:rPr>
          <w:rFonts w:eastAsiaTheme="minorHAnsi"/>
          <w:kern w:val="2"/>
          <w:lang w:eastAsia="en-US"/>
          <w14:ligatures w14:val="standardContextual"/>
        </w:rPr>
      </w:pPr>
      <w:proofErr w:type="gramStart"/>
      <w:r w:rsidRPr="003277B8">
        <w:rPr>
          <w:rFonts w:eastAsiaTheme="minorHAnsi"/>
          <w:kern w:val="2"/>
          <w:lang w:eastAsia="en-US"/>
          <w14:ligatures w14:val="standardContextual"/>
        </w:rPr>
        <w:t>легочной</w:t>
      </w:r>
      <w:proofErr w:type="gramEnd"/>
      <w:r w:rsidRPr="003277B8">
        <w:rPr>
          <w:rFonts w:eastAsiaTheme="minorHAnsi"/>
          <w:kern w:val="2"/>
          <w:lang w:eastAsia="en-US"/>
          <w14:ligatures w14:val="standardContextual"/>
        </w:rPr>
        <w:t xml:space="preserve"> эмболии в течение 7 дней, чем только </w:t>
      </w:r>
      <w:proofErr w:type="spellStart"/>
      <w:r w:rsidRPr="003277B8">
        <w:rPr>
          <w:rFonts w:eastAsiaTheme="minorHAnsi"/>
          <w:kern w:val="2"/>
          <w:lang w:eastAsia="en-US"/>
          <w14:ligatures w14:val="standardContextual"/>
        </w:rPr>
        <w:t>антикоагулянтная</w:t>
      </w:r>
      <w:proofErr w:type="spellEnd"/>
      <w:r w:rsidRPr="003277B8">
        <w:rPr>
          <w:rFonts w:eastAsiaTheme="minorHAnsi"/>
          <w:kern w:val="2"/>
          <w:lang w:eastAsia="en-US"/>
          <w14:ligatures w14:val="standardContextual"/>
        </w:rPr>
        <w:t xml:space="preserve"> терапия. Преимущества</w:t>
      </w:r>
    </w:p>
    <w:p w:rsidR="003277B8" w:rsidRPr="003277B8" w:rsidRDefault="003277B8" w:rsidP="003277B8">
      <w:pPr>
        <w:pStyle w:val="a6"/>
        <w:pBdr>
          <w:bottom w:val="single" w:sz="6" w:space="0" w:color="E2E0E1"/>
        </w:pBdr>
        <w:shd w:val="clear" w:color="auto" w:fill="FFFFFF" w:themeFill="background1"/>
        <w:spacing w:before="0" w:beforeAutospacing="0" w:after="0" w:afterAutospacing="0" w:line="360" w:lineRule="auto"/>
        <w:rPr>
          <w:rFonts w:eastAsiaTheme="minorHAnsi"/>
          <w:kern w:val="2"/>
          <w:lang w:eastAsia="en-US"/>
          <w14:ligatures w14:val="standardContextual"/>
        </w:rPr>
      </w:pPr>
      <w:proofErr w:type="gramStart"/>
      <w:r w:rsidRPr="003277B8">
        <w:rPr>
          <w:rFonts w:eastAsiaTheme="minorHAnsi"/>
          <w:kern w:val="2"/>
          <w:lang w:eastAsia="en-US"/>
          <w14:ligatures w14:val="standardContextual"/>
        </w:rPr>
        <w:t>достигнуты</w:t>
      </w:r>
      <w:proofErr w:type="gramEnd"/>
      <w:r w:rsidRPr="003277B8">
        <w:rPr>
          <w:rFonts w:eastAsiaTheme="minorHAnsi"/>
          <w:kern w:val="2"/>
          <w:lang w:eastAsia="en-US"/>
          <w14:ligatures w14:val="standardContextual"/>
        </w:rPr>
        <w:t xml:space="preserve"> за счет снижения частоты кардиопульмональной декомпенсации.</w:t>
      </w:r>
      <w:r w:rsidR="00C84BE5">
        <w:rPr>
          <w:rFonts w:eastAsiaTheme="minorHAnsi"/>
          <w:kern w:val="2"/>
          <w:lang w:eastAsia="en-US"/>
          <w14:ligatures w14:val="standardContextual"/>
        </w:rPr>
        <w:t xml:space="preserve"> (</w:t>
      </w:r>
      <w:r w:rsidR="00C84BE5" w:rsidRPr="00C84BE5">
        <w:rPr>
          <w:rFonts w:eastAsiaTheme="minorHAnsi"/>
          <w:i/>
          <w:kern w:val="2"/>
          <w:lang w:eastAsia="en-US"/>
          <w14:ligatures w14:val="standardContextual"/>
        </w:rPr>
        <w:t xml:space="preserve">Прим. переводчика: Отсутствие четких преимуществ по смертности и рецидивам ТЭЛА, но меньшая потребность в повторных «спасительных» </w:t>
      </w:r>
      <w:proofErr w:type="spellStart"/>
      <w:r w:rsidR="00C84BE5" w:rsidRPr="00C84BE5">
        <w:rPr>
          <w:rFonts w:eastAsiaTheme="minorHAnsi"/>
          <w:i/>
          <w:kern w:val="2"/>
          <w:lang w:eastAsia="en-US"/>
          <w14:ligatures w14:val="standardContextual"/>
        </w:rPr>
        <w:t>реперфузионных</w:t>
      </w:r>
      <w:proofErr w:type="spellEnd"/>
      <w:r w:rsidR="00C84BE5" w:rsidRPr="00C84BE5">
        <w:rPr>
          <w:rFonts w:eastAsiaTheme="minorHAnsi"/>
          <w:i/>
          <w:kern w:val="2"/>
          <w:lang w:eastAsia="en-US"/>
          <w14:ligatures w14:val="standardContextual"/>
        </w:rPr>
        <w:t xml:space="preserve"> мероприятиях в группе УЗИ-</w:t>
      </w:r>
      <w:proofErr w:type="spellStart"/>
      <w:r w:rsidR="00C84BE5" w:rsidRPr="00C84BE5">
        <w:rPr>
          <w:rFonts w:eastAsiaTheme="minorHAnsi"/>
          <w:i/>
          <w:kern w:val="2"/>
          <w:lang w:eastAsia="en-US"/>
          <w14:ligatures w14:val="standardContextual"/>
        </w:rPr>
        <w:t>ассистированного</w:t>
      </w:r>
      <w:proofErr w:type="spellEnd"/>
      <w:r w:rsidR="00C84BE5" w:rsidRPr="00C84BE5">
        <w:rPr>
          <w:rFonts w:eastAsiaTheme="minorHAnsi"/>
          <w:i/>
          <w:kern w:val="2"/>
          <w:lang w:eastAsia="en-US"/>
          <w14:ligatures w14:val="standardContextual"/>
        </w:rPr>
        <w:t xml:space="preserve"> </w:t>
      </w:r>
      <w:proofErr w:type="spellStart"/>
      <w:r w:rsidR="00C84BE5" w:rsidRPr="00C84BE5">
        <w:rPr>
          <w:rFonts w:eastAsiaTheme="minorHAnsi"/>
          <w:i/>
          <w:kern w:val="2"/>
          <w:lang w:eastAsia="en-US"/>
          <w14:ligatures w14:val="standardContextual"/>
        </w:rPr>
        <w:t>тромболизиса</w:t>
      </w:r>
      <w:proofErr w:type="spellEnd"/>
      <w:r w:rsidR="00C84BE5" w:rsidRPr="00C84BE5">
        <w:rPr>
          <w:rFonts w:eastAsiaTheme="minorHAnsi"/>
          <w:i/>
          <w:kern w:val="2"/>
          <w:lang w:eastAsia="en-US"/>
          <w14:ligatures w14:val="standardContextual"/>
        </w:rPr>
        <w:t xml:space="preserve"> ставит вопрос об оптимизации отбора пациентов для проведения данного вмешательства</w:t>
      </w:r>
      <w:r w:rsidR="00C84BE5">
        <w:rPr>
          <w:rFonts w:eastAsiaTheme="minorHAnsi"/>
          <w:kern w:val="2"/>
          <w:lang w:eastAsia="en-US"/>
          <w14:ligatures w14:val="standardContextual"/>
        </w:rPr>
        <w:t xml:space="preserve">). </w:t>
      </w:r>
    </w:p>
    <w:p w:rsidR="003277B8" w:rsidRDefault="003277B8" w:rsidP="00871C2F">
      <w:pPr>
        <w:tabs>
          <w:tab w:val="left" w:pos="3634"/>
        </w:tabs>
        <w:spacing w:line="360" w:lineRule="auto"/>
        <w:rPr>
          <w:rFonts w:ascii="Times New Roman" w:hAnsi="Times New Roman" w:cs="Times New Roman"/>
        </w:rPr>
      </w:pPr>
    </w:p>
    <w:p w:rsidR="00D901B3" w:rsidRDefault="003277B8" w:rsidP="00871C2F">
      <w:pPr>
        <w:tabs>
          <w:tab w:val="left" w:pos="3634"/>
        </w:tabs>
        <w:spacing w:line="360" w:lineRule="auto"/>
        <w:rPr>
          <w:rFonts w:ascii="Times New Roman" w:hAnsi="Times New Roman" w:cs="Times New Roman"/>
        </w:rPr>
      </w:pPr>
      <w:hyperlink r:id="rId9" w:history="1">
        <w:r w:rsidRPr="00A85694">
          <w:rPr>
            <w:rStyle w:val="a3"/>
            <w:rFonts w:ascii="Times New Roman" w:hAnsi="Times New Roman" w:cs="Times New Roman"/>
          </w:rPr>
          <w:t>https://www.nejm.org/doi/full/10.1056/NEJMoa2516567</w:t>
        </w:r>
      </w:hyperlink>
    </w:p>
    <w:p w:rsidR="003277B8" w:rsidRDefault="003277B8" w:rsidP="00871C2F">
      <w:pPr>
        <w:tabs>
          <w:tab w:val="left" w:pos="3634"/>
        </w:tabs>
        <w:spacing w:line="360" w:lineRule="auto"/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</w:pPr>
    </w:p>
    <w:p w:rsidR="00441C34" w:rsidRDefault="00441C34" w:rsidP="00441C34">
      <w:pPr>
        <w:tabs>
          <w:tab w:val="left" w:pos="851"/>
        </w:tabs>
        <w:spacing w:line="360" w:lineRule="auto"/>
        <w:rPr>
          <w:rStyle w:val="a5"/>
          <w:rFonts w:ascii="Times New Roman" w:hAnsi="Times New Roman" w:cs="Times New Roman"/>
          <w:bCs w:val="0"/>
          <w:color w:val="131212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ab/>
      </w:r>
      <w:r w:rsidRPr="00441C34">
        <w:rPr>
          <w:rStyle w:val="a5"/>
          <w:rFonts w:ascii="Times New Roman" w:hAnsi="Times New Roman" w:cs="Times New Roman"/>
          <w:bCs w:val="0"/>
          <w:color w:val="131212"/>
          <w:shd w:val="clear" w:color="auto" w:fill="FFFFFF"/>
        </w:rPr>
        <w:t xml:space="preserve">Аспирин в профилактике </w:t>
      </w:r>
      <w:proofErr w:type="spellStart"/>
      <w:r w:rsidRPr="00441C34">
        <w:rPr>
          <w:rStyle w:val="a5"/>
          <w:rFonts w:ascii="Times New Roman" w:hAnsi="Times New Roman" w:cs="Times New Roman"/>
          <w:bCs w:val="0"/>
          <w:color w:val="131212"/>
          <w:shd w:val="clear" w:color="auto" w:fill="FFFFFF"/>
        </w:rPr>
        <w:t>преэклампсии</w:t>
      </w:r>
      <w:proofErr w:type="spellEnd"/>
      <w:r w:rsidRPr="00441C34">
        <w:rPr>
          <w:rStyle w:val="a5"/>
          <w:rFonts w:ascii="Times New Roman" w:hAnsi="Times New Roman" w:cs="Times New Roman"/>
          <w:bCs w:val="0"/>
          <w:color w:val="131212"/>
          <w:shd w:val="clear" w:color="auto" w:fill="FFFFFF"/>
        </w:rPr>
        <w:t>: реальная клиническая практика</w:t>
      </w:r>
    </w:p>
    <w:p w:rsidR="00441C34" w:rsidRPr="00441C34" w:rsidRDefault="00BC4FED" w:rsidP="00441C34">
      <w:pPr>
        <w:tabs>
          <w:tab w:val="left" w:pos="851"/>
        </w:tabs>
        <w:spacing w:line="360" w:lineRule="auto"/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ab/>
      </w:r>
      <w:r w:rsidR="00441C34" w:rsidRPr="00441C34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С 2014</w:t>
      </w:r>
      <w:r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года низкие дозы аспирина</w:t>
      </w:r>
      <w:r w:rsidR="00441C34" w:rsidRPr="00441C34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рекомендованы клиническими руководствами для беременных высокого риска с целью снижения частоты </w:t>
      </w:r>
      <w:proofErr w:type="spellStart"/>
      <w:r w:rsidR="00441C34" w:rsidRPr="00441C34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преэклампсии</w:t>
      </w:r>
      <w:proofErr w:type="spellEnd"/>
      <w:r w:rsidR="00441C34" w:rsidRPr="00441C34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. Однако реальная приверженность этой профилактике в современной практике остаётся неизвестной.</w:t>
      </w:r>
    </w:p>
    <w:p w:rsidR="00441C34" w:rsidRPr="00441C34" w:rsidRDefault="00BC4FED" w:rsidP="00441C34">
      <w:pPr>
        <w:tabs>
          <w:tab w:val="left" w:pos="851"/>
        </w:tabs>
        <w:spacing w:line="360" w:lineRule="auto"/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ab/>
      </w:r>
      <w:r w:rsidR="00441C34" w:rsidRPr="00441C34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В многоцентровом </w:t>
      </w:r>
      <w:proofErr w:type="spellStart"/>
      <w:r w:rsidR="00441C34" w:rsidRPr="00441C34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когортном</w:t>
      </w:r>
      <w:proofErr w:type="spellEnd"/>
      <w:r w:rsidR="00441C34" w:rsidRPr="00441C34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исследовании с использованием данных электронных медицинских карт оценивалось применение аспирина у беременных с высоким риском </w:t>
      </w:r>
      <w:proofErr w:type="spellStart"/>
      <w:r w:rsidR="00441C34" w:rsidRPr="00441C34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преэклампсии</w:t>
      </w:r>
      <w:proofErr w:type="spellEnd"/>
      <w:r w:rsidR="00441C34" w:rsidRPr="00441C34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(наличие ≥1 фактора высокого риска или ≥2 факторов умеренного риска). Анализировались временные тренды распространённости </w:t>
      </w:r>
      <w:r w:rsidR="00441C34" w:rsidRPr="00441C34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lastRenderedPageBreak/>
        <w:t>использования аспирина в период с 2013 по 2019 год, а также предикторы назначения аспирина с помощью многофакторной логистической регрессии.</w:t>
      </w:r>
    </w:p>
    <w:p w:rsidR="00441C34" w:rsidRPr="00441C34" w:rsidRDefault="00BC4FED" w:rsidP="00441C34">
      <w:pPr>
        <w:tabs>
          <w:tab w:val="left" w:pos="851"/>
        </w:tabs>
        <w:spacing w:line="360" w:lineRule="auto"/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ab/>
      </w:r>
      <w:r w:rsidR="00441C34" w:rsidRPr="00441C34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Из 19 560 беременностей 9 745 (50%) были отнесены к группе высокого риска </w:t>
      </w:r>
      <w:proofErr w:type="spellStart"/>
      <w:r w:rsidR="00441C34" w:rsidRPr="00441C34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преэклампсии</w:t>
      </w:r>
      <w:proofErr w:type="spellEnd"/>
      <w:r w:rsidR="00441C34" w:rsidRPr="00441C34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. Общая распространённость приёма аспирина за период 2013–2019 гг. составила 8%. Частота использования увеличилась с 4% в 2013 году (до введения рекомендаций) до 5% в 2015 году и 13% в 2019 году. Все установленные факторы риска </w:t>
      </w:r>
      <w:proofErr w:type="spellStart"/>
      <w:r w:rsidR="00441C34" w:rsidRPr="00441C34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преэклампсии</w:t>
      </w:r>
      <w:proofErr w:type="spellEnd"/>
      <w:r w:rsidR="00441C34" w:rsidRPr="00441C34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были ассоциированы с приёмом аспирина (p&lt;0,05), за исключением низкого социально-экономического статуса и первородящего статуса.</w:t>
      </w:r>
    </w:p>
    <w:p w:rsidR="00441C34" w:rsidRDefault="00BC4FED" w:rsidP="00441C34">
      <w:pPr>
        <w:tabs>
          <w:tab w:val="left" w:pos="851"/>
        </w:tabs>
        <w:spacing w:line="360" w:lineRule="auto"/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ab/>
      </w:r>
      <w:r w:rsidR="00441C34" w:rsidRPr="00441C34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В</w:t>
      </w:r>
      <w:r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крупномасштабном </w:t>
      </w:r>
      <w:proofErr w:type="spellStart"/>
      <w:r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когортном</w:t>
      </w:r>
      <w:proofErr w:type="spellEnd"/>
      <w:r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исследовании</w:t>
      </w:r>
      <w:r w:rsidR="00441C34" w:rsidRPr="00441C34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беременных с высоким риском </w:t>
      </w:r>
      <w:proofErr w:type="spellStart"/>
      <w:r w:rsidR="00441C34" w:rsidRPr="00441C34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преэклампсии</w:t>
      </w:r>
      <w:proofErr w:type="spellEnd"/>
      <w:r w:rsidR="00441C34" w:rsidRPr="00441C34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лишь 8% получали аспирин в профилактических целях; внедрение рекомендаций сопровождалось лишь незначительным увеличением частоты назначения. Отсутствие значимой ассоциации с первородящим статусом и низким социально-экономическим статусом указывает на наличие неиспользованных возможностей для улучшения профилактики </w:t>
      </w:r>
      <w:proofErr w:type="spellStart"/>
      <w:r w:rsidR="00441C34" w:rsidRPr="00441C34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преэклампсии</w:t>
      </w:r>
      <w:proofErr w:type="spellEnd"/>
      <w:r w:rsidR="00441C34" w:rsidRPr="00441C34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.</w:t>
      </w:r>
    </w:p>
    <w:p w:rsidR="00BC4FED" w:rsidRPr="00441C34" w:rsidRDefault="00BC4FED" w:rsidP="00441C34">
      <w:pPr>
        <w:tabs>
          <w:tab w:val="left" w:pos="851"/>
        </w:tabs>
        <w:spacing w:line="360" w:lineRule="auto"/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</w:pPr>
      <w:r w:rsidRPr="00BC4FED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https://www.jacc.org/doi/10.1016/j.jacc.2026.02.2635</w:t>
      </w:r>
    </w:p>
    <w:p w:rsidR="00441C34" w:rsidRPr="00871C2F" w:rsidRDefault="00441C34" w:rsidP="00871C2F">
      <w:pPr>
        <w:tabs>
          <w:tab w:val="left" w:pos="3634"/>
        </w:tabs>
        <w:spacing w:line="360" w:lineRule="auto"/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</w:pPr>
    </w:p>
    <w:p w:rsidR="00754284" w:rsidRPr="00871C2F" w:rsidRDefault="00871C2F" w:rsidP="00871C2F">
      <w:pPr>
        <w:tabs>
          <w:tab w:val="left" w:pos="851"/>
        </w:tabs>
        <w:spacing w:line="360" w:lineRule="auto"/>
        <w:rPr>
          <w:rStyle w:val="a5"/>
          <w:rFonts w:ascii="Times New Roman" w:hAnsi="Times New Roman" w:cs="Times New Roman"/>
          <w:color w:val="131212"/>
          <w:shd w:val="clear" w:color="auto" w:fill="FFFFFF"/>
        </w:rPr>
      </w:pPr>
      <w:r>
        <w:rPr>
          <w:rStyle w:val="a5"/>
          <w:rFonts w:ascii="Times New Roman" w:hAnsi="Times New Roman" w:cs="Times New Roman"/>
          <w:color w:val="131212"/>
          <w:shd w:val="clear" w:color="auto" w:fill="FFFFFF"/>
        </w:rPr>
        <w:tab/>
      </w:r>
      <w:proofErr w:type="spellStart"/>
      <w:r w:rsidR="00754284" w:rsidRPr="00871C2F">
        <w:rPr>
          <w:rStyle w:val="a5"/>
          <w:rFonts w:ascii="Times New Roman" w:hAnsi="Times New Roman" w:cs="Times New Roman"/>
          <w:color w:val="131212"/>
          <w:shd w:val="clear" w:color="auto" w:fill="FFFFFF"/>
        </w:rPr>
        <w:t>CORALreef</w:t>
      </w:r>
      <w:proofErr w:type="spellEnd"/>
      <w:r w:rsidR="00754284" w:rsidRPr="00871C2F">
        <w:rPr>
          <w:rStyle w:val="a5"/>
          <w:rFonts w:ascii="Times New Roman" w:hAnsi="Times New Roman" w:cs="Times New Roman"/>
          <w:color w:val="131212"/>
          <w:shd w:val="clear" w:color="auto" w:fill="FFFFFF"/>
        </w:rPr>
        <w:t xml:space="preserve"> </w:t>
      </w:r>
      <w:proofErr w:type="spellStart"/>
      <w:r w:rsidR="00754284" w:rsidRPr="00871C2F">
        <w:rPr>
          <w:rStyle w:val="a5"/>
          <w:rFonts w:ascii="Times New Roman" w:hAnsi="Times New Roman" w:cs="Times New Roman"/>
          <w:color w:val="131212"/>
          <w:shd w:val="clear" w:color="auto" w:fill="FFFFFF"/>
        </w:rPr>
        <w:t>AddOn</w:t>
      </w:r>
      <w:proofErr w:type="spellEnd"/>
      <w:r w:rsidR="00754284" w:rsidRPr="00871C2F">
        <w:rPr>
          <w:rStyle w:val="a5"/>
          <w:rFonts w:ascii="Times New Roman" w:hAnsi="Times New Roman" w:cs="Times New Roman"/>
          <w:color w:val="131212"/>
          <w:shd w:val="clear" w:color="auto" w:fill="FFFFFF"/>
        </w:rPr>
        <w:t xml:space="preserve">: эффективность нового перорального ингибитора </w:t>
      </w:r>
      <w:r w:rsidR="00754284" w:rsidRPr="00871C2F">
        <w:rPr>
          <w:rStyle w:val="a5"/>
          <w:rFonts w:ascii="Times New Roman" w:hAnsi="Times New Roman" w:cs="Times New Roman"/>
          <w:color w:val="131212"/>
          <w:shd w:val="clear" w:color="auto" w:fill="FFFFFF"/>
          <w:lang w:val="en-US"/>
        </w:rPr>
        <w:t>PCSK</w:t>
      </w:r>
      <w:r w:rsidR="00754284" w:rsidRPr="00871C2F">
        <w:rPr>
          <w:rStyle w:val="a5"/>
          <w:rFonts w:ascii="Times New Roman" w:hAnsi="Times New Roman" w:cs="Times New Roman"/>
          <w:color w:val="131212"/>
          <w:shd w:val="clear" w:color="auto" w:fill="FFFFFF"/>
        </w:rPr>
        <w:t xml:space="preserve">9 </w:t>
      </w:r>
      <w:proofErr w:type="spellStart"/>
      <w:r w:rsidR="00754284" w:rsidRPr="00871C2F">
        <w:rPr>
          <w:rStyle w:val="a5"/>
          <w:rFonts w:ascii="Times New Roman" w:hAnsi="Times New Roman" w:cs="Times New Roman"/>
          <w:color w:val="131212"/>
          <w:shd w:val="clear" w:color="auto" w:fill="FFFFFF"/>
        </w:rPr>
        <w:t>энлицитида</w:t>
      </w:r>
      <w:proofErr w:type="spellEnd"/>
      <w:r w:rsidR="00754284" w:rsidRPr="00871C2F">
        <w:rPr>
          <w:rStyle w:val="a5"/>
          <w:rFonts w:ascii="Times New Roman" w:hAnsi="Times New Roman" w:cs="Times New Roman"/>
          <w:color w:val="131212"/>
          <w:shd w:val="clear" w:color="auto" w:fill="FFFFFF"/>
        </w:rPr>
        <w:t xml:space="preserve"> у пациентов с недостижением целевых значений ЛПНП на статинах</w:t>
      </w:r>
    </w:p>
    <w:p w:rsidR="00C0160B" w:rsidRPr="00871C2F" w:rsidRDefault="00871C2F" w:rsidP="00871C2F">
      <w:pPr>
        <w:spacing w:line="360" w:lineRule="auto"/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ab/>
      </w:r>
      <w:r w:rsidR="00C0160B"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В этом рандомизированном двойном слепом исследовании 3-й фазы взрослые пациенты в возрасте ≥18 лет, получавшие статины, с уровнем ЛПНП ≥55 мг/</w:t>
      </w:r>
      <w:proofErr w:type="spellStart"/>
      <w:r w:rsidR="00C0160B"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дл</w:t>
      </w:r>
      <w:proofErr w:type="spellEnd"/>
      <w:r w:rsidR="00C0160B"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и перенесенным ранее крупным сердечно-сосудистым событием или с уровнем ЛПНП ≥70 мг/</w:t>
      </w:r>
      <w:proofErr w:type="spellStart"/>
      <w:r w:rsidR="00C0160B"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дл</w:t>
      </w:r>
      <w:proofErr w:type="spellEnd"/>
      <w:r w:rsidR="00C0160B"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, если имел место средний или высокий риск первого события, были рандомизированы в соотношении 2:1:1:2 для приема </w:t>
      </w:r>
      <w:proofErr w:type="spellStart"/>
      <w:r w:rsidR="00C0160B"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энлицитида</w:t>
      </w:r>
      <w:proofErr w:type="spellEnd"/>
      <w:r w:rsidR="00C0160B"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20 мг (n = 101), </w:t>
      </w:r>
      <w:proofErr w:type="spellStart"/>
      <w:r w:rsidR="00C0160B"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бемпедоевой</w:t>
      </w:r>
      <w:proofErr w:type="spellEnd"/>
      <w:r w:rsidR="00C0160B"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кислоты 180 мг (n = 50), </w:t>
      </w:r>
      <w:proofErr w:type="spellStart"/>
      <w:r w:rsidR="00C0160B"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эзетимиба</w:t>
      </w:r>
      <w:proofErr w:type="spellEnd"/>
      <w:r w:rsidR="00C0160B"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10 мг (n = 50) или </w:t>
      </w:r>
      <w:proofErr w:type="spellStart"/>
      <w:r w:rsidR="00C0160B"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бемпедоевой</w:t>
      </w:r>
      <w:proofErr w:type="spellEnd"/>
      <w:r w:rsidR="00C0160B"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кислоты 180 мг плюс </w:t>
      </w:r>
      <w:proofErr w:type="spellStart"/>
      <w:r w:rsidR="00C0160B"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эзетимиба</w:t>
      </w:r>
      <w:proofErr w:type="spellEnd"/>
      <w:r w:rsidR="00C0160B"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10 мг (n = 100) один раз в день в течение 56 дней. Первичной конечной точкой было среднее процентное изменение уровня ЛПНП от исходного уровня до 56-го дня; Вторичные конечные точки включали средние процентные изменения уровня </w:t>
      </w:r>
      <w:proofErr w:type="spellStart"/>
      <w:r w:rsidR="00C0160B"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аполипопротеина</w:t>
      </w:r>
      <w:proofErr w:type="spellEnd"/>
      <w:r w:rsidR="00C0160B"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B (</w:t>
      </w:r>
      <w:proofErr w:type="spellStart"/>
      <w:r w:rsidR="00C0160B"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ApoB</w:t>
      </w:r>
      <w:proofErr w:type="spellEnd"/>
      <w:r w:rsidR="00C0160B"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) и не-ЛВП холестерина. Показатели безопасности включали общее количество нежелательных явлений и прекращение участия в исследовании из-за нежелательных явлений.</w:t>
      </w:r>
    </w:p>
    <w:p w:rsidR="00C0160B" w:rsidRPr="00871C2F" w:rsidRDefault="00C0160B" w:rsidP="00871C2F">
      <w:pPr>
        <w:tabs>
          <w:tab w:val="left" w:pos="3634"/>
        </w:tabs>
        <w:spacing w:line="360" w:lineRule="auto"/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</w:pPr>
      <w:r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Из 301 рандомизированного участника (средний возраст 64,4 года; 37% женщин; 98% получали статины умеренной/высокой интенсивности) 298 (99,0%) завершили исследование. Среднее процентное изменение уровня ЛПНП-холестерина от исходного уровня к 56-му дню составило -64,6% (95% доверительный интервал [ДИ]: от -68,3 до -60,9) при применении </w:t>
      </w:r>
      <w:proofErr w:type="spellStart"/>
      <w:r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энлицитида</w:t>
      </w:r>
      <w:proofErr w:type="spellEnd"/>
      <w:r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, -6,3% (95% ДИ: от -13,5 до 0,8) при применении </w:t>
      </w:r>
      <w:proofErr w:type="spellStart"/>
      <w:r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lastRenderedPageBreak/>
        <w:t>бемпедоевой</w:t>
      </w:r>
      <w:proofErr w:type="spellEnd"/>
      <w:r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кислоты, -27,8% (95% ДИ: от -32,3 до -23,4) при применении </w:t>
      </w:r>
      <w:proofErr w:type="spellStart"/>
      <w:r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эзетимиба</w:t>
      </w:r>
      <w:proofErr w:type="spellEnd"/>
      <w:r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и -36,5% (95% ДИ: от -40,8 до -32,2) при применении </w:t>
      </w:r>
      <w:proofErr w:type="spellStart"/>
      <w:r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бемпедоевой</w:t>
      </w:r>
      <w:proofErr w:type="spellEnd"/>
      <w:r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кислоты в сочетании с </w:t>
      </w:r>
      <w:proofErr w:type="spellStart"/>
      <w:r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эзетимибом</w:t>
      </w:r>
      <w:proofErr w:type="spellEnd"/>
      <w:r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; </w:t>
      </w:r>
      <w:proofErr w:type="spellStart"/>
      <w:r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энлицитид</w:t>
      </w:r>
      <w:proofErr w:type="spellEnd"/>
      <w:r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превосходил каждый из сравниваемых препаратов (все P &lt; 0,001). Снижение уровня </w:t>
      </w:r>
      <w:proofErr w:type="spellStart"/>
      <w:r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АпоВ</w:t>
      </w:r>
      <w:proofErr w:type="spellEnd"/>
      <w:r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и не-ЛПВП-холестерина также было более выраженным при применении </w:t>
      </w:r>
      <w:proofErr w:type="spellStart"/>
      <w:r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энлицитида</w:t>
      </w:r>
      <w:proofErr w:type="spellEnd"/>
      <w:r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(все P </w:t>
      </w:r>
      <w:proofErr w:type="gramStart"/>
      <w:r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&lt; 0</w:t>
      </w:r>
      <w:proofErr w:type="gramEnd"/>
      <w:r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,001). Доля участников с нежелательными явлениями и выбывших из исследования из-за нежелательных явлений была схожей во всех группах лечения.</w:t>
      </w:r>
    </w:p>
    <w:p w:rsidR="00754284" w:rsidRPr="00871C2F" w:rsidRDefault="00754284" w:rsidP="00871C2F">
      <w:pPr>
        <w:tabs>
          <w:tab w:val="left" w:pos="3634"/>
        </w:tabs>
        <w:spacing w:line="360" w:lineRule="auto"/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</w:pPr>
    </w:p>
    <w:p w:rsidR="00C0160B" w:rsidRPr="00871C2F" w:rsidRDefault="009A1BF4" w:rsidP="00871C2F">
      <w:pPr>
        <w:tabs>
          <w:tab w:val="left" w:pos="3634"/>
        </w:tabs>
        <w:spacing w:line="360" w:lineRule="auto"/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</w:pPr>
      <w:hyperlink r:id="rId10" w:history="1">
        <w:r w:rsidR="00C0160B" w:rsidRPr="00871C2F">
          <w:rPr>
            <w:rStyle w:val="a3"/>
            <w:rFonts w:ascii="Times New Roman" w:hAnsi="Times New Roman" w:cs="Times New Roman"/>
            <w:shd w:val="clear" w:color="auto" w:fill="FFFFFF"/>
          </w:rPr>
          <w:t>https://www.jacc.org/doi/10.1016/j.jacc.2026.03.036</w:t>
        </w:r>
      </w:hyperlink>
    </w:p>
    <w:p w:rsidR="00AC06E4" w:rsidRPr="00871C2F" w:rsidRDefault="00AC06E4" w:rsidP="00871C2F">
      <w:pPr>
        <w:tabs>
          <w:tab w:val="left" w:pos="3634"/>
        </w:tabs>
        <w:spacing w:line="360" w:lineRule="auto"/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</w:pPr>
    </w:p>
    <w:p w:rsidR="00871C2F" w:rsidRDefault="00AC06E4" w:rsidP="00871C2F">
      <w:pPr>
        <w:shd w:val="clear" w:color="auto" w:fill="FFFFFF"/>
        <w:spacing w:after="100" w:afterAutospacing="1" w:line="360" w:lineRule="auto"/>
        <w:ind w:firstLine="708"/>
        <w:outlineLvl w:val="0"/>
        <w:rPr>
          <w:rFonts w:ascii="Times New Roman" w:eastAsia="Times New Roman" w:hAnsi="Times New Roman" w:cs="Times New Roman"/>
          <w:b/>
          <w:bCs/>
          <w:color w:val="131212"/>
          <w:kern w:val="36"/>
          <w:lang w:eastAsia="ru-RU"/>
          <w14:ligatures w14:val="none"/>
        </w:rPr>
      </w:pPr>
      <w:proofErr w:type="spellStart"/>
      <w:r w:rsidRPr="00AC06E4">
        <w:rPr>
          <w:rFonts w:ascii="Times New Roman" w:eastAsia="Times New Roman" w:hAnsi="Times New Roman" w:cs="Times New Roman"/>
          <w:b/>
          <w:bCs/>
          <w:color w:val="131212"/>
          <w:kern w:val="36"/>
          <w:lang w:eastAsia="ru-RU"/>
          <w14:ligatures w14:val="none"/>
        </w:rPr>
        <w:t>Essence</w:t>
      </w:r>
      <w:proofErr w:type="spellEnd"/>
      <w:r w:rsidRPr="00AC06E4">
        <w:rPr>
          <w:rFonts w:ascii="Times New Roman" w:eastAsia="Times New Roman" w:hAnsi="Times New Roman" w:cs="Times New Roman"/>
          <w:b/>
          <w:bCs/>
          <w:color w:val="131212"/>
          <w:kern w:val="36"/>
          <w:lang w:eastAsia="ru-RU"/>
          <w14:ligatures w14:val="none"/>
        </w:rPr>
        <w:t>-CTA</w:t>
      </w:r>
      <w:r w:rsidRPr="00871C2F">
        <w:rPr>
          <w:rFonts w:ascii="Times New Roman" w:eastAsia="Times New Roman" w:hAnsi="Times New Roman" w:cs="Times New Roman"/>
          <w:b/>
          <w:bCs/>
          <w:color w:val="131212"/>
          <w:kern w:val="36"/>
          <w:lang w:eastAsia="ru-RU"/>
          <w14:ligatures w14:val="none"/>
        </w:rPr>
        <w:t xml:space="preserve">: </w:t>
      </w:r>
      <w:proofErr w:type="spellStart"/>
      <w:r w:rsidRPr="00871C2F">
        <w:rPr>
          <w:rFonts w:ascii="Times New Roman" w:eastAsia="Times New Roman" w:hAnsi="Times New Roman" w:cs="Times New Roman"/>
          <w:b/>
          <w:bCs/>
          <w:color w:val="131212"/>
          <w:kern w:val="36"/>
          <w:lang w:eastAsia="ru-RU"/>
          <w14:ligatures w14:val="none"/>
        </w:rPr>
        <w:t>олезарсен</w:t>
      </w:r>
      <w:proofErr w:type="spellEnd"/>
      <w:r w:rsidRPr="00871C2F">
        <w:rPr>
          <w:rFonts w:ascii="Times New Roman" w:eastAsia="Times New Roman" w:hAnsi="Times New Roman" w:cs="Times New Roman"/>
          <w:b/>
          <w:bCs/>
          <w:color w:val="131212"/>
          <w:kern w:val="36"/>
          <w:lang w:eastAsia="ru-RU"/>
          <w14:ligatures w14:val="none"/>
        </w:rPr>
        <w:t xml:space="preserve"> не влияет на объем </w:t>
      </w:r>
      <w:proofErr w:type="spellStart"/>
      <w:r w:rsidRPr="00871C2F">
        <w:rPr>
          <w:rFonts w:ascii="Times New Roman" w:eastAsia="Times New Roman" w:hAnsi="Times New Roman" w:cs="Times New Roman"/>
          <w:b/>
          <w:bCs/>
          <w:color w:val="131212"/>
          <w:kern w:val="36"/>
          <w:lang w:eastAsia="ru-RU"/>
          <w14:ligatures w14:val="none"/>
        </w:rPr>
        <w:t>некальцинированной</w:t>
      </w:r>
      <w:proofErr w:type="spellEnd"/>
      <w:r w:rsidRPr="00871C2F">
        <w:rPr>
          <w:rFonts w:ascii="Times New Roman" w:eastAsia="Times New Roman" w:hAnsi="Times New Roman" w:cs="Times New Roman"/>
          <w:b/>
          <w:bCs/>
          <w:color w:val="131212"/>
          <w:kern w:val="36"/>
          <w:lang w:eastAsia="ru-RU"/>
          <w14:ligatures w14:val="none"/>
        </w:rPr>
        <w:t xml:space="preserve"> атеросклеротической бляшки </w:t>
      </w:r>
    </w:p>
    <w:p w:rsidR="00B605ED" w:rsidRPr="00871C2F" w:rsidRDefault="00B605ED" w:rsidP="00871C2F">
      <w:pPr>
        <w:shd w:val="clear" w:color="auto" w:fill="FFFFFF"/>
        <w:spacing w:line="360" w:lineRule="auto"/>
        <w:ind w:firstLine="708"/>
        <w:outlineLvl w:val="0"/>
        <w:rPr>
          <w:rStyle w:val="a5"/>
          <w:rFonts w:ascii="Times New Roman" w:eastAsia="Times New Roman" w:hAnsi="Times New Roman" w:cs="Times New Roman"/>
          <w:color w:val="131212"/>
          <w:kern w:val="36"/>
          <w:lang w:eastAsia="ru-RU"/>
          <w14:ligatures w14:val="none"/>
        </w:rPr>
      </w:pPr>
      <w:r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Авторы исследовали, оказывает ли снижение уровня богатых триглицеридами липопротеинов и </w:t>
      </w:r>
      <w:proofErr w:type="spellStart"/>
      <w:r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ремнантного</w:t>
      </w:r>
      <w:proofErr w:type="spellEnd"/>
      <w:r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холестерина благоприятное воздействие на коронарный атеросклероз. </w:t>
      </w:r>
      <w:proofErr w:type="spellStart"/>
      <w:r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Олезарсен</w:t>
      </w:r>
      <w:proofErr w:type="spellEnd"/>
      <w:r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, </w:t>
      </w:r>
      <w:proofErr w:type="spellStart"/>
      <w:r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антисмысловой</w:t>
      </w:r>
      <w:proofErr w:type="spellEnd"/>
      <w:r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</w:t>
      </w:r>
      <w:proofErr w:type="spellStart"/>
      <w:r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олигонуклеотид</w:t>
      </w:r>
      <w:proofErr w:type="spellEnd"/>
      <w:r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, нацеленный на </w:t>
      </w:r>
      <w:proofErr w:type="spellStart"/>
      <w:r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аполипопротеин</w:t>
      </w:r>
      <w:proofErr w:type="spellEnd"/>
      <w:r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C-III, снижает уровень триглицеридов примерно на 60% и остаточного холестерина примерно на 70%, оказывает нейтральное воздействие на холестерин ЛПНП (ЛПНП-Х) и снижает уровень </w:t>
      </w:r>
      <w:proofErr w:type="spellStart"/>
      <w:r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аполипопротеина</w:t>
      </w:r>
      <w:proofErr w:type="spellEnd"/>
      <w:r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B (</w:t>
      </w:r>
      <w:proofErr w:type="spellStart"/>
      <w:r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апоВ</w:t>
      </w:r>
      <w:proofErr w:type="spellEnd"/>
      <w:r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) примерно на 15% у пациентов с умеренной </w:t>
      </w:r>
      <w:proofErr w:type="spellStart"/>
      <w:r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гипертриглицеридемией</w:t>
      </w:r>
      <w:proofErr w:type="spellEnd"/>
      <w:r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. Авторы исследовали влияние </w:t>
      </w:r>
      <w:proofErr w:type="spellStart"/>
      <w:r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олезарсена</w:t>
      </w:r>
      <w:proofErr w:type="spellEnd"/>
      <w:r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на коронарные бляшки у взрослых с преимущественно умеренной </w:t>
      </w:r>
      <w:proofErr w:type="spellStart"/>
      <w:r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гипертриглицеридемией</w:t>
      </w:r>
      <w:proofErr w:type="spellEnd"/>
      <w:r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.</w:t>
      </w:r>
    </w:p>
    <w:p w:rsidR="00B605ED" w:rsidRPr="00871C2F" w:rsidRDefault="00B605ED" w:rsidP="00871C2F">
      <w:pPr>
        <w:tabs>
          <w:tab w:val="left" w:pos="3634"/>
        </w:tabs>
        <w:spacing w:line="360" w:lineRule="auto"/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</w:pPr>
      <w:r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Авторы оценивали результаты компьютерной томографической ангиографии коронарных артерий (ККТА)</w:t>
      </w:r>
      <w:r w:rsidR="00DC3C16"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, полученных у пациентов </w:t>
      </w:r>
      <w:r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в рамках исследования </w:t>
      </w:r>
      <w:proofErr w:type="spellStart"/>
      <w:r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Essence</w:t>
      </w:r>
      <w:proofErr w:type="spellEnd"/>
      <w:r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-TIMI 73b</w:t>
      </w:r>
      <w:r w:rsidR="00DC3C16"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(</w:t>
      </w:r>
      <w:proofErr w:type="spellStart"/>
      <w:r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рандомизированного</w:t>
      </w:r>
      <w:proofErr w:type="spellEnd"/>
      <w:r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плацебо-контролируемого исследования </w:t>
      </w:r>
      <w:proofErr w:type="spellStart"/>
      <w:r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олезарсена</w:t>
      </w:r>
      <w:proofErr w:type="spellEnd"/>
      <w:r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против плацебо</w:t>
      </w:r>
      <w:r w:rsidR="00DC3C16"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)</w:t>
      </w:r>
      <w:r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. Критериями включения были уровень триглицеридов ≥150 мг/</w:t>
      </w:r>
      <w:proofErr w:type="spellStart"/>
      <w:r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дл</w:t>
      </w:r>
      <w:proofErr w:type="spellEnd"/>
      <w:r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(2,26 </w:t>
      </w:r>
      <w:proofErr w:type="spellStart"/>
      <w:r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ммоль</w:t>
      </w:r>
      <w:proofErr w:type="spellEnd"/>
      <w:r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/л), наличие </w:t>
      </w:r>
      <w:r w:rsidR="00DC3C16"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сердечно-сосудистых заболеваний </w:t>
      </w:r>
      <w:r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или высокий риск</w:t>
      </w:r>
      <w:r w:rsidR="00DC3C16"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их развития</w:t>
      </w:r>
      <w:r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, а также </w:t>
      </w:r>
      <w:proofErr w:type="spellStart"/>
      <w:r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некальцифицированные</w:t>
      </w:r>
      <w:proofErr w:type="spellEnd"/>
      <w:r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бляшки на исходной КТА. Первичной конечной точкой было процентное изменение объема </w:t>
      </w:r>
      <w:proofErr w:type="spellStart"/>
      <w:r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некальцифицированных</w:t>
      </w:r>
      <w:proofErr w:type="spellEnd"/>
      <w:r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бляшек от исходного уровня до 12 месяцев.</w:t>
      </w:r>
    </w:p>
    <w:p w:rsidR="00B605ED" w:rsidRPr="00871C2F" w:rsidRDefault="00DC3C16" w:rsidP="00871C2F">
      <w:pPr>
        <w:tabs>
          <w:tab w:val="left" w:pos="3634"/>
        </w:tabs>
        <w:spacing w:line="360" w:lineRule="auto"/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</w:pPr>
      <w:r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Всего было</w:t>
      </w:r>
      <w:r w:rsidR="00B605ED"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468 участников (349 в группе </w:t>
      </w:r>
      <w:proofErr w:type="spellStart"/>
      <w:r w:rsidR="00B605ED"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олезарсена</w:t>
      </w:r>
      <w:proofErr w:type="spellEnd"/>
      <w:r w:rsidR="00B605ED"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, 119 в группе плацебо)</w:t>
      </w:r>
      <w:r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,</w:t>
      </w:r>
      <w:r w:rsidR="00B605ED"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медиан</w:t>
      </w:r>
      <w:r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а</w:t>
      </w:r>
      <w:r w:rsidR="00B605ED"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возраст</w:t>
      </w:r>
      <w:r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а</w:t>
      </w:r>
      <w:r w:rsidR="00B605ED"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составил</w:t>
      </w:r>
      <w:r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а</w:t>
      </w:r>
      <w:r w:rsidR="00B605ED"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63 года (</w:t>
      </w:r>
      <w:proofErr w:type="spellStart"/>
      <w:r w:rsidR="00B605ED"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межквартильный</w:t>
      </w:r>
      <w:proofErr w:type="spellEnd"/>
      <w:r w:rsidR="00B605ED"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размах 56–70); 31% составляли женщины, 97% получали </w:t>
      </w:r>
      <w:proofErr w:type="spellStart"/>
      <w:r w:rsidR="00B605ED"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липидоснижающую</w:t>
      </w:r>
      <w:proofErr w:type="spellEnd"/>
      <w:r w:rsidR="00B605ED"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терапию. Медиан</w:t>
      </w:r>
      <w:r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а</w:t>
      </w:r>
      <w:r w:rsidR="00B605ED"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исходн</w:t>
      </w:r>
      <w:r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ого</w:t>
      </w:r>
      <w:r w:rsidR="00B605ED"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</w:t>
      </w:r>
      <w:proofErr w:type="spellStart"/>
      <w:r w:rsidR="00B605ED"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уровен</w:t>
      </w:r>
      <w:r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я</w:t>
      </w:r>
      <w:proofErr w:type="spellEnd"/>
      <w:r w:rsidR="00B605ED"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триглицеридов состав</w:t>
      </w:r>
      <w:r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ила</w:t>
      </w:r>
      <w:r w:rsidR="00B605ED"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249 мг/</w:t>
      </w:r>
      <w:proofErr w:type="spellStart"/>
      <w:r w:rsidR="00B605ED"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дл</w:t>
      </w:r>
      <w:proofErr w:type="spellEnd"/>
      <w:r w:rsidR="00B605ED"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(</w:t>
      </w:r>
      <w:proofErr w:type="spellStart"/>
      <w:r w:rsidR="00B605ED"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межквартильный</w:t>
      </w:r>
      <w:proofErr w:type="spellEnd"/>
      <w:r w:rsidR="00B605ED"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размах 197—331), а </w:t>
      </w:r>
      <w:proofErr w:type="spellStart"/>
      <w:r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ремнантного</w:t>
      </w:r>
      <w:proofErr w:type="spellEnd"/>
      <w:r w:rsidR="00B605ED"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холестерина — 53 мг/</w:t>
      </w:r>
      <w:proofErr w:type="spellStart"/>
      <w:r w:rsidR="00B605ED"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дл</w:t>
      </w:r>
      <w:proofErr w:type="spellEnd"/>
      <w:r w:rsidR="00B605ED"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(</w:t>
      </w:r>
      <w:proofErr w:type="spellStart"/>
      <w:r w:rsidR="00B605ED"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межквартильный</w:t>
      </w:r>
      <w:proofErr w:type="spellEnd"/>
      <w:r w:rsidR="00B605ED"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размах 38—76). Медиан</w:t>
      </w:r>
      <w:r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а</w:t>
      </w:r>
      <w:r w:rsidR="00B605ED"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исходн</w:t>
      </w:r>
      <w:r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ого</w:t>
      </w:r>
      <w:r w:rsidR="00B605ED"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объем</w:t>
      </w:r>
      <w:r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а</w:t>
      </w:r>
      <w:r w:rsidR="00B605ED"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</w:t>
      </w:r>
      <w:proofErr w:type="spellStart"/>
      <w:r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некальцинированных</w:t>
      </w:r>
      <w:proofErr w:type="spellEnd"/>
      <w:r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бляшек</w:t>
      </w:r>
      <w:r w:rsidR="00B605ED"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состав</w:t>
      </w:r>
      <w:r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ила</w:t>
      </w:r>
      <w:r w:rsidR="00B605ED"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125,3 мм³ (</w:t>
      </w:r>
      <w:proofErr w:type="spellStart"/>
      <w:r w:rsidR="00B605ED"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межквартильный</w:t>
      </w:r>
      <w:proofErr w:type="spellEnd"/>
      <w:r w:rsidR="00B605ED"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размах 63,2—213,3). Через 6 месяцев </w:t>
      </w:r>
      <w:proofErr w:type="spellStart"/>
      <w:r w:rsidR="00B605ED"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lastRenderedPageBreak/>
        <w:t>олезарсен</w:t>
      </w:r>
      <w:proofErr w:type="spellEnd"/>
      <w:r w:rsidR="00B605ED"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снизил уровень триглицеридов на 63,9%, </w:t>
      </w:r>
      <w:proofErr w:type="spellStart"/>
      <w:r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ремнантного</w:t>
      </w:r>
      <w:proofErr w:type="spellEnd"/>
      <w:r w:rsidR="00B605ED"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холестерина на 71,9% и </w:t>
      </w:r>
      <w:proofErr w:type="spellStart"/>
      <w:r w:rsidR="00B605ED"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аполипопротеина</w:t>
      </w:r>
      <w:proofErr w:type="spellEnd"/>
      <w:r w:rsidR="00B605ED"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В на 16,0% по сравнению с плацебо, при этом не наблюдалось различий в уровне ЛПНП. Процентное изменение объема </w:t>
      </w:r>
      <w:proofErr w:type="spellStart"/>
      <w:r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некальцинированных</w:t>
      </w:r>
      <w:proofErr w:type="spellEnd"/>
      <w:r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бляшек</w:t>
      </w:r>
      <w:r w:rsidR="00B605ED"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при применении </w:t>
      </w:r>
      <w:proofErr w:type="spellStart"/>
      <w:r w:rsidR="00B605ED"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олезарсена</w:t>
      </w:r>
      <w:proofErr w:type="spellEnd"/>
      <w:r w:rsidR="00B605ED"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от исходного уровня до 12-го месяца не отличалось между </w:t>
      </w:r>
      <w:proofErr w:type="spellStart"/>
      <w:r w:rsidR="00B605ED"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олезарсеном</w:t>
      </w:r>
      <w:proofErr w:type="spellEnd"/>
      <w:r w:rsidR="00B605ED"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и плацебо (скорректированная по плацебо разница средних значений методом наименьших квадратов 2,98%; 95% доверительный интервал —3,4–9,3; p=0,36). Значимых различий между </w:t>
      </w:r>
      <w:proofErr w:type="spellStart"/>
      <w:r w:rsidR="00B605ED"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олезарсеном</w:t>
      </w:r>
      <w:proofErr w:type="spellEnd"/>
      <w:r w:rsidR="00B605ED"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и плацебо по изменениям объема бляшек с низкой плотностью, кальцинированных бляшек или общего объема бляшек через 12 месяцев </w:t>
      </w:r>
      <w:r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также </w:t>
      </w:r>
      <w:r w:rsidR="00B605ED"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не наблюдалось.</w:t>
      </w:r>
    </w:p>
    <w:p w:rsidR="00DC3C16" w:rsidRPr="00871C2F" w:rsidRDefault="00DC3C16" w:rsidP="00871C2F">
      <w:pPr>
        <w:tabs>
          <w:tab w:val="left" w:pos="3634"/>
        </w:tabs>
        <w:spacing w:line="360" w:lineRule="auto"/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</w:pPr>
    </w:p>
    <w:p w:rsidR="00B605ED" w:rsidRPr="00871C2F" w:rsidRDefault="00B605ED" w:rsidP="00871C2F">
      <w:pPr>
        <w:tabs>
          <w:tab w:val="left" w:pos="3634"/>
        </w:tabs>
        <w:spacing w:line="360" w:lineRule="auto"/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</w:pPr>
      <w:r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https://www.ahajournals.org/doi/10.1161/CIRCULATIONAHA.126.080012</w:t>
      </w:r>
    </w:p>
    <w:p w:rsidR="00791905" w:rsidRPr="00871C2F" w:rsidRDefault="00791905" w:rsidP="00871C2F">
      <w:pPr>
        <w:tabs>
          <w:tab w:val="left" w:pos="3634"/>
        </w:tabs>
        <w:spacing w:line="360" w:lineRule="auto"/>
        <w:rPr>
          <w:rFonts w:ascii="Times New Roman" w:hAnsi="Times New Roman" w:cs="Times New Roman"/>
          <w:b/>
          <w:bCs/>
        </w:rPr>
      </w:pPr>
    </w:p>
    <w:p w:rsidR="00195FC1" w:rsidRPr="00871C2F" w:rsidRDefault="00871C2F" w:rsidP="00871C2F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="00195FC1" w:rsidRPr="00871C2F">
        <w:rPr>
          <w:rFonts w:ascii="Times New Roman" w:hAnsi="Times New Roman" w:cs="Times New Roman"/>
          <w:b/>
          <w:bCs/>
        </w:rPr>
        <w:t>IVUS-CHIP</w:t>
      </w:r>
      <w:r w:rsidR="00354914" w:rsidRPr="00871C2F">
        <w:rPr>
          <w:rFonts w:ascii="Times New Roman" w:hAnsi="Times New Roman" w:cs="Times New Roman"/>
          <w:b/>
          <w:bCs/>
        </w:rPr>
        <w:t xml:space="preserve">, </w:t>
      </w:r>
      <w:r w:rsidR="00195FC1" w:rsidRPr="00871C2F">
        <w:rPr>
          <w:rFonts w:ascii="Times New Roman" w:hAnsi="Times New Roman" w:cs="Times New Roman"/>
          <w:b/>
          <w:bCs/>
        </w:rPr>
        <w:t>OPTIMAL</w:t>
      </w:r>
      <w:r w:rsidR="00354914" w:rsidRPr="00871C2F">
        <w:rPr>
          <w:rFonts w:ascii="Times New Roman" w:hAnsi="Times New Roman" w:cs="Times New Roman"/>
          <w:b/>
          <w:bCs/>
        </w:rPr>
        <w:t xml:space="preserve"> и DKCRUSH VIII</w:t>
      </w:r>
      <w:r w:rsidR="00195FC1" w:rsidRPr="00871C2F">
        <w:rPr>
          <w:rFonts w:ascii="Times New Roman" w:hAnsi="Times New Roman" w:cs="Times New Roman"/>
        </w:rPr>
        <w:t xml:space="preserve">: </w:t>
      </w:r>
      <w:r w:rsidR="00195FC1" w:rsidRPr="00871C2F">
        <w:rPr>
          <w:rFonts w:ascii="Times New Roman" w:hAnsi="Times New Roman" w:cs="Times New Roman"/>
          <w:b/>
          <w:bCs/>
        </w:rPr>
        <w:t>ЧКВ под контролем внутрисосудистого ультразвукового исследования против ЧКВ под контролем ангиографии</w:t>
      </w:r>
    </w:p>
    <w:p w:rsidR="00195FC1" w:rsidRPr="00871C2F" w:rsidRDefault="00871C2F" w:rsidP="00871C2F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 w:rsidR="00195FC1" w:rsidRPr="00871C2F">
        <w:rPr>
          <w:rFonts w:ascii="Times New Roman" w:hAnsi="Times New Roman" w:cs="Times New Roman"/>
        </w:rPr>
        <w:t xml:space="preserve">В исследованиях </w:t>
      </w:r>
      <w:r w:rsidR="00354914" w:rsidRPr="00871C2F">
        <w:rPr>
          <w:rFonts w:ascii="Times New Roman" w:hAnsi="Times New Roman" w:cs="Times New Roman"/>
          <w:b/>
          <w:bCs/>
        </w:rPr>
        <w:t xml:space="preserve">IVUS-CHIP и OPTIMAL </w:t>
      </w:r>
      <w:r w:rsidR="00195FC1" w:rsidRPr="00871C2F">
        <w:rPr>
          <w:rFonts w:ascii="Times New Roman" w:hAnsi="Times New Roman" w:cs="Times New Roman"/>
        </w:rPr>
        <w:t xml:space="preserve">ЧКВ под контролем внутрисосудистого ультразвукового исследования (ВСУЗИ) не показало превосходства по сравнению с обычным ангиографическим контролем ни у пациентов со сложной коронарной анатомией (IVUS-CHIP), ни у пациентов с незащищенным поражением ствола коронарной артерии </w:t>
      </w:r>
      <w:proofErr w:type="gramStart"/>
      <w:r w:rsidR="00195FC1" w:rsidRPr="00871C2F">
        <w:rPr>
          <w:rFonts w:ascii="Times New Roman" w:hAnsi="Times New Roman" w:cs="Times New Roman"/>
        </w:rPr>
        <w:t>( OPTIMAL</w:t>
      </w:r>
      <w:proofErr w:type="gramEnd"/>
      <w:r w:rsidR="00195FC1" w:rsidRPr="00871C2F">
        <w:rPr>
          <w:rFonts w:ascii="Times New Roman" w:hAnsi="Times New Roman" w:cs="Times New Roman"/>
        </w:rPr>
        <w:t xml:space="preserve">). </w:t>
      </w:r>
      <w:r w:rsidR="00354914" w:rsidRPr="00871C2F">
        <w:rPr>
          <w:rFonts w:ascii="Times New Roman" w:hAnsi="Times New Roman" w:cs="Times New Roman"/>
        </w:rPr>
        <w:t xml:space="preserve">В исследовании </w:t>
      </w:r>
      <w:r w:rsidR="00354914" w:rsidRPr="00871C2F">
        <w:rPr>
          <w:rFonts w:ascii="Times New Roman" w:hAnsi="Times New Roman" w:cs="Times New Roman"/>
          <w:b/>
          <w:bCs/>
        </w:rPr>
        <w:t xml:space="preserve">DKCRUSH VIII </w:t>
      </w:r>
      <w:r w:rsidR="00354914" w:rsidRPr="00871C2F">
        <w:rPr>
          <w:rFonts w:ascii="Times New Roman" w:hAnsi="Times New Roman" w:cs="Times New Roman"/>
        </w:rPr>
        <w:t xml:space="preserve">ВСУЗИ контроль имел преимущества при проведении ЧКВ сложных </w:t>
      </w:r>
      <w:proofErr w:type="spellStart"/>
      <w:r w:rsidR="00354914" w:rsidRPr="00871C2F">
        <w:rPr>
          <w:rFonts w:ascii="Times New Roman" w:hAnsi="Times New Roman" w:cs="Times New Roman"/>
        </w:rPr>
        <w:t>бифуркационных</w:t>
      </w:r>
      <w:proofErr w:type="spellEnd"/>
      <w:r w:rsidR="00354914" w:rsidRPr="00871C2F">
        <w:rPr>
          <w:rFonts w:ascii="Times New Roman" w:hAnsi="Times New Roman" w:cs="Times New Roman"/>
        </w:rPr>
        <w:t xml:space="preserve"> стенозов методом </w:t>
      </w:r>
      <w:r w:rsidR="00354914" w:rsidRPr="00871C2F">
        <w:rPr>
          <w:rStyle w:val="a5"/>
          <w:rFonts w:ascii="Times New Roman" w:hAnsi="Times New Roman" w:cs="Times New Roman"/>
          <w:b w:val="0"/>
          <w:bCs w:val="0"/>
          <w:color w:val="0A0A0A"/>
        </w:rPr>
        <w:t>«двойного раздавливания» с двойной «</w:t>
      </w:r>
      <w:proofErr w:type="spellStart"/>
      <w:r w:rsidR="00354914" w:rsidRPr="00871C2F">
        <w:rPr>
          <w:rStyle w:val="a5"/>
          <w:rFonts w:ascii="Times New Roman" w:hAnsi="Times New Roman" w:cs="Times New Roman"/>
          <w:b w:val="0"/>
          <w:bCs w:val="0"/>
          <w:color w:val="0A0A0A"/>
        </w:rPr>
        <w:t>киссинг</w:t>
      </w:r>
      <w:proofErr w:type="spellEnd"/>
      <w:r w:rsidR="00354914" w:rsidRPr="00871C2F">
        <w:rPr>
          <w:rStyle w:val="a5"/>
          <w:rFonts w:ascii="Times New Roman" w:hAnsi="Times New Roman" w:cs="Times New Roman"/>
          <w:b w:val="0"/>
          <w:bCs w:val="0"/>
          <w:color w:val="0A0A0A"/>
        </w:rPr>
        <w:t>»-дилатацией.</w:t>
      </w:r>
    </w:p>
    <w:p w:rsidR="00195FC1" w:rsidRPr="00871C2F" w:rsidRDefault="00195FC1" w:rsidP="00871C2F">
      <w:pPr>
        <w:tabs>
          <w:tab w:val="left" w:pos="3634"/>
        </w:tabs>
        <w:spacing w:line="360" w:lineRule="auto"/>
        <w:rPr>
          <w:rFonts w:ascii="Times New Roman" w:hAnsi="Times New Roman" w:cs="Times New Roman"/>
        </w:rPr>
      </w:pPr>
      <w:r w:rsidRPr="00871C2F">
        <w:rPr>
          <w:rFonts w:ascii="Times New Roman" w:hAnsi="Times New Roman" w:cs="Times New Roman"/>
        </w:rPr>
        <w:t>Исследование IVUS-CHIP представляло собой инициированное исследователями европейское открытое исследование, изучавшее эффективность ЧКВ под контролем ВСУЗИ, для которого имеется ограниченное количество данных из современной европейской практики и низкий уровень внедрения в западных странах.</w:t>
      </w:r>
    </w:p>
    <w:p w:rsidR="00195FC1" w:rsidRPr="00871C2F" w:rsidRDefault="00195FC1" w:rsidP="00871C2F">
      <w:pPr>
        <w:tabs>
          <w:tab w:val="left" w:pos="3634"/>
        </w:tabs>
        <w:spacing w:line="360" w:lineRule="auto"/>
        <w:rPr>
          <w:rFonts w:ascii="Times New Roman" w:hAnsi="Times New Roman" w:cs="Times New Roman"/>
        </w:rPr>
      </w:pPr>
      <w:r w:rsidRPr="00871C2F">
        <w:rPr>
          <w:rFonts w:ascii="Times New Roman" w:hAnsi="Times New Roman" w:cs="Times New Roman"/>
        </w:rPr>
        <w:t xml:space="preserve">Авторы </w:t>
      </w:r>
      <w:proofErr w:type="spellStart"/>
      <w:r w:rsidRPr="00871C2F">
        <w:rPr>
          <w:rFonts w:ascii="Times New Roman" w:hAnsi="Times New Roman" w:cs="Times New Roman"/>
        </w:rPr>
        <w:t>рандомизировали</w:t>
      </w:r>
      <w:proofErr w:type="spellEnd"/>
      <w:r w:rsidRPr="00871C2F">
        <w:rPr>
          <w:rFonts w:ascii="Times New Roman" w:hAnsi="Times New Roman" w:cs="Times New Roman"/>
        </w:rPr>
        <w:t xml:space="preserve"> 2020 пациентов со сложной коронарной анатомией в соотношении 1:1 на ЧКВ под контролем ВСУЗИ с заранее определенными критериями оптимального позиционирования </w:t>
      </w:r>
      <w:proofErr w:type="spellStart"/>
      <w:r w:rsidRPr="00871C2F">
        <w:rPr>
          <w:rFonts w:ascii="Times New Roman" w:hAnsi="Times New Roman" w:cs="Times New Roman"/>
        </w:rPr>
        <w:t>стента</w:t>
      </w:r>
      <w:proofErr w:type="spellEnd"/>
      <w:r w:rsidRPr="00871C2F">
        <w:rPr>
          <w:rFonts w:ascii="Times New Roman" w:hAnsi="Times New Roman" w:cs="Times New Roman"/>
        </w:rPr>
        <w:t xml:space="preserve"> или ЧКВ под контролем ангиографии. Средний возраст пациентов составлял 69 лет, 79% из них были мужчинами, и у 27% был диагностирован острый коронарный синдром. Первичной конечной точкой была несостоятельность целевого сосуда (НЦС), определяемая как совокупность смерти от сердечных причин, инфаркта миокарда в бассейне целевого сосуда или клинически обоснованной повторной </w:t>
      </w:r>
      <w:proofErr w:type="spellStart"/>
      <w:r w:rsidRPr="00871C2F">
        <w:rPr>
          <w:rFonts w:ascii="Times New Roman" w:hAnsi="Times New Roman" w:cs="Times New Roman"/>
        </w:rPr>
        <w:t>реваскуляризации</w:t>
      </w:r>
      <w:proofErr w:type="spellEnd"/>
      <w:r w:rsidRPr="00871C2F">
        <w:rPr>
          <w:rFonts w:ascii="Times New Roman" w:hAnsi="Times New Roman" w:cs="Times New Roman"/>
        </w:rPr>
        <w:t xml:space="preserve"> целевого сосуда.</w:t>
      </w:r>
    </w:p>
    <w:p w:rsidR="00195FC1" w:rsidRPr="00871C2F" w:rsidRDefault="00195FC1" w:rsidP="00871C2F">
      <w:pPr>
        <w:tabs>
          <w:tab w:val="left" w:pos="3634"/>
        </w:tabs>
        <w:spacing w:line="360" w:lineRule="auto"/>
        <w:rPr>
          <w:rFonts w:ascii="Times New Roman" w:hAnsi="Times New Roman" w:cs="Times New Roman"/>
        </w:rPr>
      </w:pPr>
      <w:r w:rsidRPr="00871C2F">
        <w:rPr>
          <w:rFonts w:ascii="Times New Roman" w:hAnsi="Times New Roman" w:cs="Times New Roman"/>
        </w:rPr>
        <w:lastRenderedPageBreak/>
        <w:t xml:space="preserve">Исходный средний балл SYNTAX составлял 25 в обеих группах, большинство поражений были типа B2 или C. Средняя продолжительность процедуры составляла 89 минут для ЧКВ под контролем внутрисосудистого ультразвукового исследования (ВСУЗИ) и 66 минут для ЧКВ под контролем ангиографии. </w:t>
      </w:r>
      <w:proofErr w:type="spellStart"/>
      <w:r w:rsidRPr="00871C2F">
        <w:rPr>
          <w:rFonts w:ascii="Times New Roman" w:hAnsi="Times New Roman" w:cs="Times New Roman"/>
        </w:rPr>
        <w:t>Постдилатация</w:t>
      </w:r>
      <w:proofErr w:type="spellEnd"/>
      <w:r w:rsidRPr="00871C2F">
        <w:rPr>
          <w:rFonts w:ascii="Times New Roman" w:hAnsi="Times New Roman" w:cs="Times New Roman"/>
        </w:rPr>
        <w:t xml:space="preserve"> после имплантации </w:t>
      </w:r>
      <w:proofErr w:type="spellStart"/>
      <w:r w:rsidRPr="00871C2F">
        <w:rPr>
          <w:rFonts w:ascii="Times New Roman" w:hAnsi="Times New Roman" w:cs="Times New Roman"/>
        </w:rPr>
        <w:t>стента</w:t>
      </w:r>
      <w:proofErr w:type="spellEnd"/>
      <w:r w:rsidRPr="00871C2F">
        <w:rPr>
          <w:rFonts w:ascii="Times New Roman" w:hAnsi="Times New Roman" w:cs="Times New Roman"/>
        </w:rPr>
        <w:t xml:space="preserve"> была выполнена в 91% процедур под контролем ВСУЗИ и в 84% процедур под контролем ангиографии.</w:t>
      </w:r>
    </w:p>
    <w:p w:rsidR="00195FC1" w:rsidRPr="00871C2F" w:rsidRDefault="00195FC1" w:rsidP="00871C2F">
      <w:pPr>
        <w:tabs>
          <w:tab w:val="left" w:pos="3634"/>
        </w:tabs>
        <w:spacing w:line="360" w:lineRule="auto"/>
        <w:rPr>
          <w:rFonts w:ascii="Times New Roman" w:hAnsi="Times New Roman" w:cs="Times New Roman"/>
        </w:rPr>
      </w:pPr>
      <w:r w:rsidRPr="00871C2F">
        <w:rPr>
          <w:rFonts w:ascii="Times New Roman" w:hAnsi="Times New Roman" w:cs="Times New Roman"/>
        </w:rPr>
        <w:t>Результаты, полученные при 19-месячном наблюдении, показали, что первичный исход в виде несостоятельности целевого сосуда наблюдался у 14% пациентов в группе, где процедура проводилась под контролем внутрисосудистого ультразвукового исследования (ВСУЗИ), и у 11% пациентов в группе, где процедура проводилась под контролем ангиографии (отношение рисков [ОР], 1,25; p=0,08). Осложнения были зарегистрированы в 11,3% и 10,2% случаев, соответственно.</w:t>
      </w:r>
    </w:p>
    <w:p w:rsidR="00195FC1" w:rsidRPr="00871C2F" w:rsidRDefault="00195FC1" w:rsidP="00871C2F">
      <w:pPr>
        <w:tabs>
          <w:tab w:val="left" w:pos="3634"/>
        </w:tabs>
        <w:spacing w:line="360" w:lineRule="auto"/>
        <w:rPr>
          <w:rFonts w:ascii="Times New Roman" w:hAnsi="Times New Roman" w:cs="Times New Roman"/>
        </w:rPr>
      </w:pPr>
      <w:r w:rsidRPr="00871C2F">
        <w:rPr>
          <w:rFonts w:ascii="Times New Roman" w:hAnsi="Times New Roman" w:cs="Times New Roman"/>
        </w:rPr>
        <w:t>В международном многоцентровом открытом исследовании OPTIMAL 806 пациентов, которым предстояло ЧКВ незащищенного ствола ЛКА, были рандомизированы в 2 группы: 401 пациенту была назначена ЧКВ под контролем внутрисосудистого ультразвукового исследования (IVUS), а 405 — ЧКВ под контролем ангиографии. Средний возраст пациентов составлял 71 год, 78% были мужчинами, и 35% страдали диабетом. Средний балл по шкале SYNTAX составил 29,7.</w:t>
      </w:r>
    </w:p>
    <w:p w:rsidR="00195FC1" w:rsidRPr="00871C2F" w:rsidRDefault="00195FC1" w:rsidP="00871C2F">
      <w:pPr>
        <w:tabs>
          <w:tab w:val="left" w:pos="3634"/>
        </w:tabs>
        <w:spacing w:line="360" w:lineRule="auto"/>
        <w:rPr>
          <w:rFonts w:ascii="Times New Roman" w:hAnsi="Times New Roman" w:cs="Times New Roman"/>
        </w:rPr>
      </w:pPr>
      <w:r w:rsidRPr="00871C2F">
        <w:rPr>
          <w:rFonts w:ascii="Times New Roman" w:hAnsi="Times New Roman" w:cs="Times New Roman"/>
        </w:rPr>
        <w:t xml:space="preserve">При медианном периоде наблюдения в 2,09 года первичная конечная точка, ориентированная на пациента и включающая любой инсульт, инфаркт миокарда, </w:t>
      </w:r>
      <w:proofErr w:type="spellStart"/>
      <w:r w:rsidRPr="00871C2F">
        <w:rPr>
          <w:rFonts w:ascii="Times New Roman" w:hAnsi="Times New Roman" w:cs="Times New Roman"/>
        </w:rPr>
        <w:t>реваскуляризацию</w:t>
      </w:r>
      <w:proofErr w:type="spellEnd"/>
      <w:r w:rsidRPr="00871C2F">
        <w:rPr>
          <w:rFonts w:ascii="Times New Roman" w:hAnsi="Times New Roman" w:cs="Times New Roman"/>
        </w:rPr>
        <w:t xml:space="preserve"> или смерть от любой причины, наблюдалась у 34% пациентов в группе внутрисосудистого ультразвукового исследования (IVUS) и у 31% пациентов в группе ангиографии (ОР, 1,11; p=0,40). Аналогичная частота смертности (15%), инфаркта миокарда (11%) или </w:t>
      </w:r>
      <w:proofErr w:type="spellStart"/>
      <w:r w:rsidRPr="00871C2F">
        <w:rPr>
          <w:rFonts w:ascii="Times New Roman" w:hAnsi="Times New Roman" w:cs="Times New Roman"/>
        </w:rPr>
        <w:t>реваскуляризации</w:t>
      </w:r>
      <w:proofErr w:type="spellEnd"/>
      <w:r w:rsidRPr="00871C2F">
        <w:rPr>
          <w:rFonts w:ascii="Times New Roman" w:hAnsi="Times New Roman" w:cs="Times New Roman"/>
        </w:rPr>
        <w:t xml:space="preserve"> (около 11%) наблюдалась в обеих группах. Кроме того, частота связанных с процедурой и общих событий, связанных с безопасностью, была одинаковой в обеих группах.</w:t>
      </w:r>
    </w:p>
    <w:p w:rsidR="00354914" w:rsidRPr="00871C2F" w:rsidRDefault="00354914" w:rsidP="00871C2F">
      <w:pPr>
        <w:tabs>
          <w:tab w:val="left" w:pos="3634"/>
        </w:tabs>
        <w:spacing w:line="360" w:lineRule="auto"/>
        <w:rPr>
          <w:rFonts w:ascii="Times New Roman" w:hAnsi="Times New Roman" w:cs="Times New Roman"/>
        </w:rPr>
      </w:pPr>
      <w:r w:rsidRPr="00871C2F">
        <w:rPr>
          <w:rFonts w:ascii="Times New Roman" w:hAnsi="Times New Roman" w:cs="Times New Roman"/>
        </w:rPr>
        <w:t xml:space="preserve">Многоцентровое рандомизированное открытое исследование </w:t>
      </w:r>
      <w:r w:rsidRPr="00871C2F">
        <w:rPr>
          <w:rFonts w:ascii="Times New Roman" w:hAnsi="Times New Roman" w:cs="Times New Roman"/>
          <w:b/>
          <w:bCs/>
        </w:rPr>
        <w:t xml:space="preserve">DKCRUSH VIII </w:t>
      </w:r>
      <w:r w:rsidRPr="00871C2F">
        <w:rPr>
          <w:rFonts w:ascii="Times New Roman" w:hAnsi="Times New Roman" w:cs="Times New Roman"/>
        </w:rPr>
        <w:t>проведено</w:t>
      </w:r>
      <w:r w:rsidRPr="00871C2F">
        <w:rPr>
          <w:rFonts w:ascii="Times New Roman" w:hAnsi="Times New Roman" w:cs="Times New Roman"/>
          <w:b/>
          <w:bCs/>
        </w:rPr>
        <w:t xml:space="preserve"> </w:t>
      </w:r>
      <w:r w:rsidRPr="00871C2F">
        <w:rPr>
          <w:rFonts w:ascii="Times New Roman" w:hAnsi="Times New Roman" w:cs="Times New Roman"/>
        </w:rPr>
        <w:t xml:space="preserve">в 24 центрах Китая. Пациенты с клиническими показаниями к ЧКВ и сложным </w:t>
      </w:r>
      <w:proofErr w:type="spellStart"/>
      <w:r w:rsidRPr="00871C2F">
        <w:rPr>
          <w:rFonts w:ascii="Times New Roman" w:hAnsi="Times New Roman" w:cs="Times New Roman"/>
        </w:rPr>
        <w:t>бифуркационным</w:t>
      </w:r>
      <w:proofErr w:type="spellEnd"/>
      <w:r w:rsidRPr="00871C2F">
        <w:rPr>
          <w:rFonts w:ascii="Times New Roman" w:hAnsi="Times New Roman" w:cs="Times New Roman"/>
        </w:rPr>
        <w:t xml:space="preserve"> поражением, основанным на критериях DEFINITION (</w:t>
      </w:r>
      <w:proofErr w:type="spellStart"/>
      <w:r w:rsidRPr="00871C2F">
        <w:rPr>
          <w:rFonts w:ascii="Times New Roman" w:hAnsi="Times New Roman" w:cs="Times New Roman"/>
        </w:rPr>
        <w:t>Definitions</w:t>
      </w:r>
      <w:proofErr w:type="spellEnd"/>
      <w:r w:rsidRPr="00871C2F">
        <w:rPr>
          <w:rFonts w:ascii="Times New Roman" w:hAnsi="Times New Roman" w:cs="Times New Roman"/>
        </w:rPr>
        <w:t xml:space="preserve"> </w:t>
      </w:r>
      <w:proofErr w:type="spellStart"/>
      <w:r w:rsidRPr="00871C2F">
        <w:rPr>
          <w:rFonts w:ascii="Times New Roman" w:hAnsi="Times New Roman" w:cs="Times New Roman"/>
        </w:rPr>
        <w:t>and</w:t>
      </w:r>
      <w:proofErr w:type="spellEnd"/>
      <w:r w:rsidRPr="00871C2F">
        <w:rPr>
          <w:rFonts w:ascii="Times New Roman" w:hAnsi="Times New Roman" w:cs="Times New Roman"/>
        </w:rPr>
        <w:t xml:space="preserve"> </w:t>
      </w:r>
      <w:proofErr w:type="spellStart"/>
      <w:r w:rsidRPr="00871C2F">
        <w:rPr>
          <w:rFonts w:ascii="Times New Roman" w:hAnsi="Times New Roman" w:cs="Times New Roman"/>
        </w:rPr>
        <w:t>Impact</w:t>
      </w:r>
      <w:proofErr w:type="spellEnd"/>
      <w:r w:rsidRPr="00871C2F">
        <w:rPr>
          <w:rFonts w:ascii="Times New Roman" w:hAnsi="Times New Roman" w:cs="Times New Roman"/>
        </w:rPr>
        <w:t xml:space="preserve"> </w:t>
      </w:r>
      <w:proofErr w:type="spellStart"/>
      <w:r w:rsidRPr="00871C2F">
        <w:rPr>
          <w:rFonts w:ascii="Times New Roman" w:hAnsi="Times New Roman" w:cs="Times New Roman"/>
        </w:rPr>
        <w:t>of</w:t>
      </w:r>
      <w:proofErr w:type="spellEnd"/>
      <w:r w:rsidRPr="00871C2F">
        <w:rPr>
          <w:rFonts w:ascii="Times New Roman" w:hAnsi="Times New Roman" w:cs="Times New Roman"/>
        </w:rPr>
        <w:t xml:space="preserve"> </w:t>
      </w:r>
      <w:proofErr w:type="spellStart"/>
      <w:r w:rsidRPr="00871C2F">
        <w:rPr>
          <w:rFonts w:ascii="Times New Roman" w:hAnsi="Times New Roman" w:cs="Times New Roman"/>
        </w:rPr>
        <w:t>Complex</w:t>
      </w:r>
      <w:proofErr w:type="spellEnd"/>
      <w:r w:rsidRPr="00871C2F">
        <w:rPr>
          <w:rFonts w:ascii="Times New Roman" w:hAnsi="Times New Roman" w:cs="Times New Roman"/>
        </w:rPr>
        <w:t xml:space="preserve"> </w:t>
      </w:r>
      <w:proofErr w:type="spellStart"/>
      <w:r w:rsidRPr="00871C2F">
        <w:rPr>
          <w:rFonts w:ascii="Times New Roman" w:hAnsi="Times New Roman" w:cs="Times New Roman"/>
        </w:rPr>
        <w:t>Bifurcation</w:t>
      </w:r>
      <w:proofErr w:type="spellEnd"/>
      <w:r w:rsidRPr="00871C2F">
        <w:rPr>
          <w:rFonts w:ascii="Times New Roman" w:hAnsi="Times New Roman" w:cs="Times New Roman"/>
        </w:rPr>
        <w:t xml:space="preserve"> </w:t>
      </w:r>
      <w:proofErr w:type="spellStart"/>
      <w:r w:rsidRPr="00871C2F">
        <w:rPr>
          <w:rFonts w:ascii="Times New Roman" w:hAnsi="Times New Roman" w:cs="Times New Roman"/>
        </w:rPr>
        <w:t>Lesions</w:t>
      </w:r>
      <w:proofErr w:type="spellEnd"/>
      <w:r w:rsidRPr="00871C2F">
        <w:rPr>
          <w:rFonts w:ascii="Times New Roman" w:hAnsi="Times New Roman" w:cs="Times New Roman"/>
        </w:rPr>
        <w:t xml:space="preserve"> </w:t>
      </w:r>
      <w:proofErr w:type="spellStart"/>
      <w:r w:rsidRPr="00871C2F">
        <w:rPr>
          <w:rFonts w:ascii="Times New Roman" w:hAnsi="Times New Roman" w:cs="Times New Roman"/>
        </w:rPr>
        <w:t>on</w:t>
      </w:r>
      <w:proofErr w:type="spellEnd"/>
      <w:r w:rsidRPr="00871C2F">
        <w:rPr>
          <w:rFonts w:ascii="Times New Roman" w:hAnsi="Times New Roman" w:cs="Times New Roman"/>
        </w:rPr>
        <w:t xml:space="preserve"> </w:t>
      </w:r>
      <w:proofErr w:type="spellStart"/>
      <w:r w:rsidRPr="00871C2F">
        <w:rPr>
          <w:rFonts w:ascii="Times New Roman" w:hAnsi="Times New Roman" w:cs="Times New Roman"/>
        </w:rPr>
        <w:t>Clinical</w:t>
      </w:r>
      <w:proofErr w:type="spellEnd"/>
      <w:r w:rsidRPr="00871C2F">
        <w:rPr>
          <w:rFonts w:ascii="Times New Roman" w:hAnsi="Times New Roman" w:cs="Times New Roman"/>
        </w:rPr>
        <w:t xml:space="preserve"> </w:t>
      </w:r>
      <w:proofErr w:type="spellStart"/>
      <w:r w:rsidRPr="00871C2F">
        <w:rPr>
          <w:rFonts w:ascii="Times New Roman" w:hAnsi="Times New Roman" w:cs="Times New Roman"/>
        </w:rPr>
        <w:t>Outcomes</w:t>
      </w:r>
      <w:proofErr w:type="spellEnd"/>
      <w:r w:rsidRPr="00871C2F">
        <w:rPr>
          <w:rFonts w:ascii="Times New Roman" w:hAnsi="Times New Roman" w:cs="Times New Roman"/>
        </w:rPr>
        <w:t xml:space="preserve"> </w:t>
      </w:r>
      <w:proofErr w:type="spellStart"/>
      <w:r w:rsidRPr="00871C2F">
        <w:rPr>
          <w:rFonts w:ascii="Times New Roman" w:hAnsi="Times New Roman" w:cs="Times New Roman"/>
        </w:rPr>
        <w:t>After</w:t>
      </w:r>
      <w:proofErr w:type="spellEnd"/>
      <w:r w:rsidRPr="00871C2F">
        <w:rPr>
          <w:rFonts w:ascii="Times New Roman" w:hAnsi="Times New Roman" w:cs="Times New Roman"/>
        </w:rPr>
        <w:t xml:space="preserve"> </w:t>
      </w:r>
      <w:proofErr w:type="spellStart"/>
      <w:r w:rsidRPr="00871C2F">
        <w:rPr>
          <w:rFonts w:ascii="Times New Roman" w:hAnsi="Times New Roman" w:cs="Times New Roman"/>
        </w:rPr>
        <w:t>Percutaneous</w:t>
      </w:r>
      <w:proofErr w:type="spellEnd"/>
      <w:r w:rsidRPr="00871C2F">
        <w:rPr>
          <w:rFonts w:ascii="Times New Roman" w:hAnsi="Times New Roman" w:cs="Times New Roman"/>
        </w:rPr>
        <w:t xml:space="preserve"> </w:t>
      </w:r>
      <w:proofErr w:type="spellStart"/>
      <w:r w:rsidRPr="00871C2F">
        <w:rPr>
          <w:rFonts w:ascii="Times New Roman" w:hAnsi="Times New Roman" w:cs="Times New Roman"/>
        </w:rPr>
        <w:t>Coronary</w:t>
      </w:r>
      <w:proofErr w:type="spellEnd"/>
      <w:r w:rsidRPr="00871C2F">
        <w:rPr>
          <w:rFonts w:ascii="Times New Roman" w:hAnsi="Times New Roman" w:cs="Times New Roman"/>
        </w:rPr>
        <w:t xml:space="preserve"> </w:t>
      </w:r>
      <w:proofErr w:type="spellStart"/>
      <w:r w:rsidRPr="00871C2F">
        <w:rPr>
          <w:rFonts w:ascii="Times New Roman" w:hAnsi="Times New Roman" w:cs="Times New Roman"/>
        </w:rPr>
        <w:t>Intervention</w:t>
      </w:r>
      <w:proofErr w:type="spellEnd"/>
      <w:r w:rsidRPr="00871C2F">
        <w:rPr>
          <w:rFonts w:ascii="Times New Roman" w:hAnsi="Times New Roman" w:cs="Times New Roman"/>
        </w:rPr>
        <w:t xml:space="preserve"> </w:t>
      </w:r>
      <w:proofErr w:type="spellStart"/>
      <w:r w:rsidRPr="00871C2F">
        <w:rPr>
          <w:rFonts w:ascii="Times New Roman" w:hAnsi="Times New Roman" w:cs="Times New Roman"/>
        </w:rPr>
        <w:t>Using</w:t>
      </w:r>
      <w:proofErr w:type="spellEnd"/>
      <w:r w:rsidRPr="00871C2F">
        <w:rPr>
          <w:rFonts w:ascii="Times New Roman" w:hAnsi="Times New Roman" w:cs="Times New Roman"/>
        </w:rPr>
        <w:t xml:space="preserve"> </w:t>
      </w:r>
      <w:proofErr w:type="spellStart"/>
      <w:r w:rsidRPr="00871C2F">
        <w:rPr>
          <w:rFonts w:ascii="Times New Roman" w:hAnsi="Times New Roman" w:cs="Times New Roman"/>
        </w:rPr>
        <w:t>Drug-Eluting</w:t>
      </w:r>
      <w:proofErr w:type="spellEnd"/>
      <w:r w:rsidRPr="00871C2F">
        <w:rPr>
          <w:rFonts w:ascii="Times New Roman" w:hAnsi="Times New Roman" w:cs="Times New Roman"/>
        </w:rPr>
        <w:t xml:space="preserve"> </w:t>
      </w:r>
      <w:proofErr w:type="spellStart"/>
      <w:r w:rsidRPr="00871C2F">
        <w:rPr>
          <w:rFonts w:ascii="Times New Roman" w:hAnsi="Times New Roman" w:cs="Times New Roman"/>
        </w:rPr>
        <w:t>Stents</w:t>
      </w:r>
      <w:proofErr w:type="spellEnd"/>
      <w:r w:rsidRPr="00871C2F">
        <w:rPr>
          <w:rFonts w:ascii="Times New Roman" w:hAnsi="Times New Roman" w:cs="Times New Roman"/>
        </w:rPr>
        <w:t xml:space="preserve">), в частности, длина поражения боковой ветви ≥10 мм по данным коронарной ангиографии, были рандомизированы в соотношении 1:1 в группы ЧКВ под контролем внутрисосудистого ультразвукового исследования (IVUS) или ЧКВ под контролем ангиографии. Первичной конечной точкой была комбинированная конечная точка, включающая сердечную смерть, инфаркт миокарда в бассейне целевого </w:t>
      </w:r>
      <w:r w:rsidRPr="00871C2F">
        <w:rPr>
          <w:rFonts w:ascii="Times New Roman" w:hAnsi="Times New Roman" w:cs="Times New Roman"/>
        </w:rPr>
        <w:lastRenderedPageBreak/>
        <w:t xml:space="preserve">сосуда или клинически обоснованная </w:t>
      </w:r>
      <w:proofErr w:type="spellStart"/>
      <w:r w:rsidRPr="00871C2F">
        <w:rPr>
          <w:rFonts w:ascii="Times New Roman" w:hAnsi="Times New Roman" w:cs="Times New Roman"/>
        </w:rPr>
        <w:t>реваскуляризация</w:t>
      </w:r>
      <w:proofErr w:type="spellEnd"/>
      <w:r w:rsidRPr="00871C2F">
        <w:rPr>
          <w:rFonts w:ascii="Times New Roman" w:hAnsi="Times New Roman" w:cs="Times New Roman"/>
        </w:rPr>
        <w:t xml:space="preserve"> целевого сосуда в течение 1 года после рандомизации.</w:t>
      </w:r>
    </w:p>
    <w:p w:rsidR="00354914" w:rsidRPr="00871C2F" w:rsidRDefault="00354914" w:rsidP="00871C2F">
      <w:pPr>
        <w:tabs>
          <w:tab w:val="left" w:pos="3634"/>
        </w:tabs>
        <w:spacing w:line="360" w:lineRule="auto"/>
        <w:rPr>
          <w:rFonts w:ascii="Times New Roman" w:hAnsi="Times New Roman" w:cs="Times New Roman"/>
        </w:rPr>
      </w:pPr>
      <w:r w:rsidRPr="00871C2F">
        <w:rPr>
          <w:rFonts w:ascii="Times New Roman" w:hAnsi="Times New Roman" w:cs="Times New Roman"/>
        </w:rPr>
        <w:t xml:space="preserve">Авторы распределили 555 пациентов в группы ЧКВ под контролем IVUS (n = 277) или ЧКВ под контролем ангиографии (n = 278). В общей сложности у 124 пациентов (44,8%) в группе ЧКВ под контролем внутрисосудистого ультразвукового исследования и у 122 (43,9%) в группе ЧКВ под контролем ангиографии было </w:t>
      </w:r>
      <w:proofErr w:type="spellStart"/>
      <w:r w:rsidRPr="00871C2F">
        <w:rPr>
          <w:rFonts w:ascii="Times New Roman" w:hAnsi="Times New Roman" w:cs="Times New Roman"/>
        </w:rPr>
        <w:t>бифуркационное</w:t>
      </w:r>
      <w:proofErr w:type="spellEnd"/>
      <w:r w:rsidRPr="00871C2F">
        <w:rPr>
          <w:rFonts w:ascii="Times New Roman" w:hAnsi="Times New Roman" w:cs="Times New Roman"/>
        </w:rPr>
        <w:t xml:space="preserve"> поражение </w:t>
      </w:r>
      <w:r w:rsidR="00392D62" w:rsidRPr="00871C2F">
        <w:rPr>
          <w:rFonts w:ascii="Times New Roman" w:hAnsi="Times New Roman" w:cs="Times New Roman"/>
        </w:rPr>
        <w:t>ствола левой</w:t>
      </w:r>
      <w:r w:rsidRPr="00871C2F">
        <w:rPr>
          <w:rFonts w:ascii="Times New Roman" w:hAnsi="Times New Roman" w:cs="Times New Roman"/>
        </w:rPr>
        <w:t xml:space="preserve"> коронарной артерии. </w:t>
      </w:r>
      <w:r w:rsidR="00392D62" w:rsidRPr="00871C2F">
        <w:rPr>
          <w:rFonts w:ascii="Times New Roman" w:hAnsi="Times New Roman" w:cs="Times New Roman"/>
        </w:rPr>
        <w:t xml:space="preserve">Двойной </w:t>
      </w:r>
      <w:proofErr w:type="spellStart"/>
      <w:r w:rsidR="00392D62" w:rsidRPr="00871C2F">
        <w:rPr>
          <w:rFonts w:ascii="Times New Roman" w:hAnsi="Times New Roman" w:cs="Times New Roman"/>
        </w:rPr>
        <w:t>крашинг</w:t>
      </w:r>
      <w:proofErr w:type="spellEnd"/>
      <w:r w:rsidRPr="00871C2F">
        <w:rPr>
          <w:rFonts w:ascii="Times New Roman" w:hAnsi="Times New Roman" w:cs="Times New Roman"/>
        </w:rPr>
        <w:t xml:space="preserve"> </w:t>
      </w:r>
      <w:r w:rsidR="00392D62" w:rsidRPr="00871C2F">
        <w:rPr>
          <w:rFonts w:ascii="Times New Roman" w:hAnsi="Times New Roman" w:cs="Times New Roman"/>
        </w:rPr>
        <w:t xml:space="preserve">с имплантацией 2 </w:t>
      </w:r>
      <w:proofErr w:type="spellStart"/>
      <w:r w:rsidR="00392D62" w:rsidRPr="00871C2F">
        <w:rPr>
          <w:rFonts w:ascii="Times New Roman" w:hAnsi="Times New Roman" w:cs="Times New Roman"/>
        </w:rPr>
        <w:t>стентов</w:t>
      </w:r>
      <w:proofErr w:type="spellEnd"/>
      <w:r w:rsidR="00392D62" w:rsidRPr="00871C2F">
        <w:rPr>
          <w:rFonts w:ascii="Times New Roman" w:hAnsi="Times New Roman" w:cs="Times New Roman"/>
        </w:rPr>
        <w:t xml:space="preserve"> </w:t>
      </w:r>
      <w:r w:rsidRPr="00871C2F">
        <w:rPr>
          <w:rFonts w:ascii="Times New Roman" w:hAnsi="Times New Roman" w:cs="Times New Roman"/>
        </w:rPr>
        <w:t>применял</w:t>
      </w:r>
      <w:r w:rsidR="00392D62" w:rsidRPr="00871C2F">
        <w:rPr>
          <w:rFonts w:ascii="Times New Roman" w:hAnsi="Times New Roman" w:cs="Times New Roman"/>
        </w:rPr>
        <w:t>ся</w:t>
      </w:r>
      <w:r w:rsidRPr="00871C2F">
        <w:rPr>
          <w:rFonts w:ascii="Times New Roman" w:hAnsi="Times New Roman" w:cs="Times New Roman"/>
        </w:rPr>
        <w:t xml:space="preserve"> у 96,8% пациентов. Через 1 год первичная конечная точка была достигнута у 17 пациентов (6,1%) в группе ЧКВ под контролем ВСУЗИ и у 41 пациента (14,7%) в группе ЧКВ под контролем ангиографии (ОР: 0,40; 95% ДИ: 0,23-0,71; P = 0,002), что было обусловлено главным образом снижением частоты инфаркта миокарда в </w:t>
      </w:r>
      <w:r w:rsidR="00392D62" w:rsidRPr="00871C2F">
        <w:rPr>
          <w:rFonts w:ascii="Times New Roman" w:hAnsi="Times New Roman" w:cs="Times New Roman"/>
        </w:rPr>
        <w:t xml:space="preserve">бассейне </w:t>
      </w:r>
      <w:r w:rsidRPr="00871C2F">
        <w:rPr>
          <w:rFonts w:ascii="Times New Roman" w:hAnsi="Times New Roman" w:cs="Times New Roman"/>
        </w:rPr>
        <w:t>целево</w:t>
      </w:r>
      <w:r w:rsidR="00392D62" w:rsidRPr="00871C2F">
        <w:rPr>
          <w:rFonts w:ascii="Times New Roman" w:hAnsi="Times New Roman" w:cs="Times New Roman"/>
        </w:rPr>
        <w:t>го</w:t>
      </w:r>
      <w:r w:rsidRPr="00871C2F">
        <w:rPr>
          <w:rFonts w:ascii="Times New Roman" w:hAnsi="Times New Roman" w:cs="Times New Roman"/>
        </w:rPr>
        <w:t xml:space="preserve"> сосуд</w:t>
      </w:r>
      <w:r w:rsidR="00392D62" w:rsidRPr="00871C2F">
        <w:rPr>
          <w:rFonts w:ascii="Times New Roman" w:hAnsi="Times New Roman" w:cs="Times New Roman"/>
        </w:rPr>
        <w:t>а</w:t>
      </w:r>
      <w:r w:rsidRPr="00871C2F">
        <w:rPr>
          <w:rFonts w:ascii="Times New Roman" w:hAnsi="Times New Roman" w:cs="Times New Roman"/>
        </w:rPr>
        <w:t xml:space="preserve"> или </w:t>
      </w:r>
      <w:proofErr w:type="spellStart"/>
      <w:r w:rsidRPr="00871C2F">
        <w:rPr>
          <w:rFonts w:ascii="Times New Roman" w:hAnsi="Times New Roman" w:cs="Times New Roman"/>
        </w:rPr>
        <w:t>реваскуляризации</w:t>
      </w:r>
      <w:proofErr w:type="spellEnd"/>
      <w:r w:rsidRPr="00871C2F">
        <w:rPr>
          <w:rFonts w:ascii="Times New Roman" w:hAnsi="Times New Roman" w:cs="Times New Roman"/>
        </w:rPr>
        <w:t xml:space="preserve"> целевого сосуда.</w:t>
      </w:r>
    </w:p>
    <w:p w:rsidR="00195FC1" w:rsidRPr="00871C2F" w:rsidRDefault="00195FC1" w:rsidP="00871C2F">
      <w:pPr>
        <w:tabs>
          <w:tab w:val="left" w:pos="3634"/>
        </w:tabs>
        <w:spacing w:line="360" w:lineRule="auto"/>
        <w:rPr>
          <w:rFonts w:ascii="Times New Roman" w:hAnsi="Times New Roman" w:cs="Times New Roman"/>
        </w:rPr>
      </w:pPr>
    </w:p>
    <w:p w:rsidR="00354914" w:rsidRPr="00871C2F" w:rsidRDefault="00354914" w:rsidP="00871C2F">
      <w:pPr>
        <w:tabs>
          <w:tab w:val="left" w:pos="3634"/>
        </w:tabs>
        <w:spacing w:line="360" w:lineRule="auto"/>
        <w:rPr>
          <w:rFonts w:ascii="Times New Roman" w:hAnsi="Times New Roman" w:cs="Times New Roman"/>
        </w:rPr>
      </w:pPr>
      <w:r w:rsidRPr="00871C2F">
        <w:rPr>
          <w:rFonts w:ascii="Times New Roman" w:hAnsi="Times New Roman" w:cs="Times New Roman"/>
        </w:rPr>
        <w:t>https://www.jacc.org/doi/10.1016/j.jacc.2026.01.081</w:t>
      </w:r>
    </w:p>
    <w:p w:rsidR="00195FC1" w:rsidRPr="00871C2F" w:rsidRDefault="009A1BF4" w:rsidP="00871C2F">
      <w:pPr>
        <w:tabs>
          <w:tab w:val="left" w:pos="3634"/>
        </w:tabs>
        <w:spacing w:line="360" w:lineRule="auto"/>
        <w:rPr>
          <w:rFonts w:ascii="Times New Roman" w:hAnsi="Times New Roman" w:cs="Times New Roman"/>
        </w:rPr>
      </w:pPr>
      <w:hyperlink r:id="rId11" w:history="1">
        <w:r w:rsidR="00BE24C6" w:rsidRPr="00871C2F">
          <w:rPr>
            <w:rStyle w:val="a3"/>
            <w:rFonts w:ascii="Times New Roman" w:hAnsi="Times New Roman" w:cs="Times New Roman"/>
          </w:rPr>
          <w:t>https://www.nejm.org/doi/full/10.1056/NEJMoa2601521</w:t>
        </w:r>
      </w:hyperlink>
    </w:p>
    <w:p w:rsidR="00BE24C6" w:rsidRPr="00871C2F" w:rsidRDefault="009A1BF4" w:rsidP="00871C2F">
      <w:pPr>
        <w:tabs>
          <w:tab w:val="left" w:pos="3634"/>
        </w:tabs>
        <w:spacing w:line="360" w:lineRule="auto"/>
        <w:rPr>
          <w:rFonts w:ascii="Times New Roman" w:hAnsi="Times New Roman" w:cs="Times New Roman"/>
        </w:rPr>
      </w:pPr>
      <w:hyperlink r:id="rId12" w:history="1">
        <w:r w:rsidR="00BE24C6" w:rsidRPr="00871C2F">
          <w:rPr>
            <w:rStyle w:val="a3"/>
            <w:rFonts w:ascii="Times New Roman" w:hAnsi="Times New Roman" w:cs="Times New Roman"/>
          </w:rPr>
          <w:t>https://www.nejm.org/doi/full/10.1056/NEJMoa2600440</w:t>
        </w:r>
      </w:hyperlink>
    </w:p>
    <w:p w:rsidR="00BE24C6" w:rsidRPr="00871C2F" w:rsidRDefault="00BE24C6" w:rsidP="00871C2F">
      <w:pPr>
        <w:tabs>
          <w:tab w:val="left" w:pos="3634"/>
        </w:tabs>
        <w:spacing w:line="360" w:lineRule="auto"/>
        <w:rPr>
          <w:rFonts w:ascii="Times New Roman" w:hAnsi="Times New Roman" w:cs="Times New Roman"/>
        </w:rPr>
      </w:pPr>
    </w:p>
    <w:p w:rsidR="00413451" w:rsidRPr="00871C2F" w:rsidRDefault="00871C2F" w:rsidP="00871C2F">
      <w:pPr>
        <w:tabs>
          <w:tab w:val="left" w:pos="709"/>
        </w:tabs>
        <w:spacing w:line="360" w:lineRule="auto"/>
        <w:rPr>
          <w:rStyle w:val="a5"/>
          <w:rFonts w:ascii="Times New Roman" w:hAnsi="Times New Roman" w:cs="Times New Roman"/>
          <w:color w:val="131212"/>
          <w:shd w:val="clear" w:color="auto" w:fill="FFFFFF"/>
        </w:rPr>
      </w:pPr>
      <w:r>
        <w:rPr>
          <w:rStyle w:val="a5"/>
          <w:rFonts w:ascii="Times New Roman" w:hAnsi="Times New Roman" w:cs="Times New Roman"/>
          <w:color w:val="131212"/>
          <w:shd w:val="clear" w:color="auto" w:fill="FFFFFF"/>
        </w:rPr>
        <w:tab/>
      </w:r>
      <w:r w:rsidR="00413451" w:rsidRPr="00871C2F">
        <w:rPr>
          <w:rStyle w:val="a5"/>
          <w:rFonts w:ascii="Times New Roman" w:hAnsi="Times New Roman" w:cs="Times New Roman"/>
          <w:color w:val="131212"/>
          <w:shd w:val="clear" w:color="auto" w:fill="FFFFFF"/>
        </w:rPr>
        <w:t>ORBITA-CTO: ЧКВ при хронических окклюзиях и устранение стенокардии</w:t>
      </w:r>
    </w:p>
    <w:p w:rsidR="00A574BB" w:rsidRPr="00871C2F" w:rsidRDefault="00871C2F" w:rsidP="00871C2F">
      <w:pPr>
        <w:tabs>
          <w:tab w:val="left" w:pos="567"/>
        </w:tabs>
        <w:spacing w:line="360" w:lineRule="auto"/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</w:pPr>
      <w:r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ab/>
        <w:t xml:space="preserve">  </w:t>
      </w:r>
      <w:r w:rsidR="00A574BB"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ORBITA-CTO представляло собой многоцентровое рандомизированное слепое исследование, сравнивающее ЧКВ при хронической окклюзии коронарной артерии с плацебо-процедурой. У включенных пациентов наблюдалась стенокардия, обусловленная хронической окклюзией одной коронарной артерии, без сопутствующего поражения других коронарных артерий. Симптомы стенокардии регистрировались ежедневно с помощью приложения ORBITA. После коронарной ангиографии пациенты были рандомизированы либо в группу ЧКВ, либо в группу плацебо- процедуры. </w:t>
      </w:r>
      <w:proofErr w:type="spellStart"/>
      <w:r w:rsidR="00A574BB"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Заслепленность</w:t>
      </w:r>
      <w:proofErr w:type="spellEnd"/>
      <w:r w:rsidR="00A574BB"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процедуры обеспечивалась с помощью звукоизоляции и глубокой </w:t>
      </w:r>
      <w:proofErr w:type="spellStart"/>
      <w:r w:rsidR="00A574BB"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седации</w:t>
      </w:r>
      <w:proofErr w:type="spellEnd"/>
      <w:r w:rsidR="00A574BB"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. Прием антиангинальных препаратов был прекращен на этапе рандомизации и возобновлен по протоколу, инициированному пациентом. Через 6 месяцев наблюдения оценки были повторены. Первичным показателем эффективности была оценка симптомов стенокардии — ранговая шкала, объединяющая ежедневную тяжесть симптомов, оцениваемую с помощью приложения ORBITA, использование антиангинальных препаратов и «события переопределения». Вторичные показатели включали число баллов в анкетах по симптомам и качеству жизни.</w:t>
      </w:r>
    </w:p>
    <w:p w:rsidR="00A574BB" w:rsidRPr="00871C2F" w:rsidRDefault="00A574BB" w:rsidP="00871C2F">
      <w:pPr>
        <w:tabs>
          <w:tab w:val="left" w:pos="3634"/>
        </w:tabs>
        <w:spacing w:line="360" w:lineRule="auto"/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</w:pPr>
      <w:r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50 пациентов были случайным образом распределены в группу ЧКВ (n=25) или группу плацебо (n=25). Один пациент, рандомизированный в группу ЧКВ, был исключен из </w:t>
      </w:r>
      <w:r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lastRenderedPageBreak/>
        <w:t xml:space="preserve">исследования во время процедуры из-за осложнения. Все 50 пациентов были включены в основной анализ. По сравнению с плацебо, ЧКВ привело к немедленному и устойчивому улучшению показателей выраженности симптомов стенокардии (ОР 4,38, 95% ДИ 1,57–12,69, вероятность пользы = 0,996), что обусловлено явным уменьшением числа эпизодов стенокардии (ОР 4,38, 95% ДИ 1,55–11,78, вероятность пользы = 0,997). Это привело к увеличению продолжительности периода без приступов стенокардии на дополнительные 30,6 дней (95% доверительный интервал от 11,1 до 50,7, вероятность положительного </w:t>
      </w:r>
      <w:proofErr w:type="gramStart"/>
      <w:r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результата &gt;</w:t>
      </w:r>
      <w:proofErr w:type="gramEnd"/>
      <w:r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0,999). Также наблюдалось улучшение с точки зрения частоты приступов стенокардии по шкале SAQ (+10,7, 95% доверительный интервал от 1,4 до 20,2, вероятность положительного результата = 0,988), физических ограничений, качества жизни, суммарного балла и функционального класса. Отдельный анализ качества исследования показал, что </w:t>
      </w:r>
      <w:proofErr w:type="spellStart"/>
      <w:r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заслепленность</w:t>
      </w:r>
      <w:proofErr w:type="spellEnd"/>
      <w:r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 xml:space="preserve"> исследования для пациентов, персонала и исследователей была сохранена.</w:t>
      </w:r>
    </w:p>
    <w:p w:rsidR="00A574BB" w:rsidRPr="00871C2F" w:rsidRDefault="00A574BB" w:rsidP="00871C2F">
      <w:pPr>
        <w:tabs>
          <w:tab w:val="left" w:pos="3634"/>
        </w:tabs>
        <w:spacing w:line="360" w:lineRule="auto"/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</w:pPr>
    </w:p>
    <w:p w:rsidR="00A574BB" w:rsidRPr="00871C2F" w:rsidRDefault="00A574BB" w:rsidP="00871C2F">
      <w:pPr>
        <w:tabs>
          <w:tab w:val="left" w:pos="3634"/>
        </w:tabs>
        <w:spacing w:line="360" w:lineRule="auto"/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</w:pPr>
      <w:r w:rsidRPr="00871C2F">
        <w:rPr>
          <w:rStyle w:val="a5"/>
          <w:rFonts w:ascii="Times New Roman" w:hAnsi="Times New Roman" w:cs="Times New Roman"/>
          <w:b w:val="0"/>
          <w:bCs w:val="0"/>
          <w:color w:val="131212"/>
          <w:shd w:val="clear" w:color="auto" w:fill="FFFFFF"/>
        </w:rPr>
        <w:t>https://www.jacc.org/doi/10.1016/j.jacc.2026.03.027</w:t>
      </w:r>
    </w:p>
    <w:p w:rsidR="00413451" w:rsidRPr="00871C2F" w:rsidRDefault="00413451" w:rsidP="00871C2F">
      <w:pPr>
        <w:tabs>
          <w:tab w:val="left" w:pos="3634"/>
        </w:tabs>
        <w:spacing w:line="360" w:lineRule="auto"/>
        <w:rPr>
          <w:rStyle w:val="a5"/>
          <w:rFonts w:ascii="Times New Roman" w:hAnsi="Times New Roman" w:cs="Times New Roman"/>
          <w:color w:val="131212"/>
          <w:shd w:val="clear" w:color="auto" w:fill="FFFFFF"/>
        </w:rPr>
      </w:pPr>
    </w:p>
    <w:p w:rsidR="002E01A6" w:rsidRPr="00871C2F" w:rsidRDefault="00871C2F" w:rsidP="00871C2F">
      <w:pPr>
        <w:tabs>
          <w:tab w:val="left" w:pos="709"/>
        </w:tabs>
        <w:spacing w:line="360" w:lineRule="auto"/>
        <w:rPr>
          <w:rStyle w:val="a5"/>
          <w:rFonts w:ascii="Times New Roman" w:hAnsi="Times New Roman" w:cs="Times New Roman"/>
          <w:color w:val="131212"/>
          <w:shd w:val="clear" w:color="auto" w:fill="FFFFFF"/>
        </w:rPr>
      </w:pPr>
      <w:r>
        <w:rPr>
          <w:rStyle w:val="a5"/>
          <w:rFonts w:ascii="Times New Roman" w:hAnsi="Times New Roman" w:cs="Times New Roman"/>
          <w:color w:val="131212"/>
          <w:shd w:val="clear" w:color="auto" w:fill="FFFFFF"/>
        </w:rPr>
        <w:tab/>
      </w:r>
      <w:r w:rsidR="002E01A6" w:rsidRPr="00871C2F">
        <w:rPr>
          <w:rStyle w:val="a5"/>
          <w:rFonts w:ascii="Times New Roman" w:hAnsi="Times New Roman" w:cs="Times New Roman"/>
          <w:color w:val="131212"/>
          <w:shd w:val="clear" w:color="auto" w:fill="FFFFFF"/>
        </w:rPr>
        <w:t>PRO-TAVI: когда выполнять ЧКВ пациентам, которым планируется эндоваскулярное протезирование аортального клапана?</w:t>
      </w:r>
    </w:p>
    <w:p w:rsidR="002E01A6" w:rsidRPr="00871C2F" w:rsidRDefault="00871C2F" w:rsidP="00871C2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E01A6" w:rsidRPr="00871C2F">
        <w:rPr>
          <w:rFonts w:ascii="Times New Roman" w:hAnsi="Times New Roman" w:cs="Times New Roman"/>
        </w:rPr>
        <w:t xml:space="preserve">Ишемическая болезнь сердца часто встречается у пациентов, являющихся кандидатами на </w:t>
      </w:r>
      <w:proofErr w:type="spellStart"/>
      <w:r w:rsidR="002E01A6" w:rsidRPr="00871C2F">
        <w:rPr>
          <w:rFonts w:ascii="Times New Roman" w:hAnsi="Times New Roman" w:cs="Times New Roman"/>
        </w:rPr>
        <w:t>транскатетерную</w:t>
      </w:r>
      <w:proofErr w:type="spellEnd"/>
      <w:r w:rsidR="002E01A6" w:rsidRPr="00871C2F">
        <w:rPr>
          <w:rFonts w:ascii="Times New Roman" w:hAnsi="Times New Roman" w:cs="Times New Roman"/>
        </w:rPr>
        <w:t xml:space="preserve"> имплантацию аортального клапана (TAVI). Цель исследования состояла в том, чтобы оценить, является ли отсрочка </w:t>
      </w:r>
      <w:proofErr w:type="spellStart"/>
      <w:r w:rsidR="002E01A6" w:rsidRPr="00871C2F">
        <w:rPr>
          <w:rFonts w:ascii="Times New Roman" w:hAnsi="Times New Roman" w:cs="Times New Roman"/>
        </w:rPr>
        <w:t>чрескожного</w:t>
      </w:r>
      <w:proofErr w:type="spellEnd"/>
      <w:r w:rsidR="002E01A6" w:rsidRPr="00871C2F">
        <w:rPr>
          <w:rFonts w:ascii="Times New Roman" w:hAnsi="Times New Roman" w:cs="Times New Roman"/>
        </w:rPr>
        <w:t xml:space="preserve"> коронарного вмешательства (ЧКВ) не менее эффективной, чем рутинное ЧКВ перед TAVI у пациентов с ишемической болезнью сердца.</w:t>
      </w:r>
    </w:p>
    <w:p w:rsidR="002E01A6" w:rsidRPr="00871C2F" w:rsidRDefault="002E01A6" w:rsidP="00871C2F">
      <w:pPr>
        <w:tabs>
          <w:tab w:val="left" w:pos="3634"/>
        </w:tabs>
        <w:spacing w:line="360" w:lineRule="auto"/>
        <w:rPr>
          <w:rFonts w:ascii="Times New Roman" w:hAnsi="Times New Roman" w:cs="Times New Roman"/>
        </w:rPr>
      </w:pPr>
      <w:r w:rsidRPr="00871C2F">
        <w:rPr>
          <w:rFonts w:ascii="Times New Roman" w:hAnsi="Times New Roman" w:cs="Times New Roman"/>
        </w:rPr>
        <w:t xml:space="preserve">В этом инициированном исследователями открытом рандомизированном контролируемом исследовании, проведенном в 12 больницах Нидерландов, пациенты с ишемической болезнью сердца, кандидаты на TAVI, были случайным образом распределены в соотношении 1:1 на две группы: отсрочка ЧКВ или ЧКВ перед TAVI. Рандомизация проводилась с использованием веб-системы с размерами случайных блоков 2 и 4 и стратификацией по наличию ишемической болезни сердца с поражением проксимального сегмента передней нисходящей артерии. Первичной конечной точкой была комбинированная конечная точка, включающая смертность от всех причин, инфаркт миокарда, инсульт и большое кровотечение в течение 1 года. Проверка не меньшей эффективности проводилась в популяции, включенной в анализ по принципу «намерение лечить», с учетом заранее установленного предела в 11 процентных пунктов. </w:t>
      </w:r>
    </w:p>
    <w:p w:rsidR="002E01A6" w:rsidRPr="00871C2F" w:rsidRDefault="002E01A6" w:rsidP="00871C2F">
      <w:pPr>
        <w:tabs>
          <w:tab w:val="left" w:pos="3634"/>
        </w:tabs>
        <w:spacing w:line="360" w:lineRule="auto"/>
        <w:rPr>
          <w:rFonts w:ascii="Times New Roman" w:hAnsi="Times New Roman" w:cs="Times New Roman"/>
        </w:rPr>
      </w:pPr>
      <w:r w:rsidRPr="00871C2F">
        <w:rPr>
          <w:rFonts w:ascii="Times New Roman" w:hAnsi="Times New Roman" w:cs="Times New Roman"/>
        </w:rPr>
        <w:lastRenderedPageBreak/>
        <w:t>В исследование были включены 466 пациентов: 233 были отнесены к группе отсрочки ЧКВ, а 233 — к группе ЧКВ до TAVI. Медиана возраста составила 81 год (</w:t>
      </w:r>
      <w:proofErr w:type="spellStart"/>
      <w:r w:rsidRPr="00871C2F">
        <w:rPr>
          <w:rFonts w:ascii="Times New Roman" w:hAnsi="Times New Roman" w:cs="Times New Roman"/>
        </w:rPr>
        <w:t>межквартильный</w:t>
      </w:r>
      <w:proofErr w:type="spellEnd"/>
      <w:r w:rsidRPr="00871C2F">
        <w:rPr>
          <w:rFonts w:ascii="Times New Roman" w:hAnsi="Times New Roman" w:cs="Times New Roman"/>
        </w:rPr>
        <w:t xml:space="preserve"> диапазон 78–84), 166 (36%) были женщинами. Первичная конечная точка была достигнута у 56 (24%) из 233 пациентов в группе отсрочки по сравнению с 60 (26%) из 233 пациентов в группе ЧКВ (разница в частоте −1,7% [95% ДИ −9,5–6,2]; отношение рисков 0,89 [95% ДИ 0,62–1,28]; p=0,0008 для не меньшей эффективности; p=0,68 для превосходства).</w:t>
      </w:r>
    </w:p>
    <w:p w:rsidR="002E01A6" w:rsidRPr="00871C2F" w:rsidRDefault="002E01A6" w:rsidP="00871C2F">
      <w:pPr>
        <w:tabs>
          <w:tab w:val="left" w:pos="3634"/>
        </w:tabs>
        <w:spacing w:line="360" w:lineRule="auto"/>
        <w:rPr>
          <w:rFonts w:ascii="Times New Roman" w:hAnsi="Times New Roman" w:cs="Times New Roman"/>
        </w:rPr>
      </w:pPr>
      <w:r w:rsidRPr="00871C2F">
        <w:rPr>
          <w:rFonts w:ascii="Times New Roman" w:hAnsi="Times New Roman" w:cs="Times New Roman"/>
        </w:rPr>
        <w:t xml:space="preserve">У пациентов с ишемической болезнью сердца, перенесших </w:t>
      </w:r>
      <w:r w:rsidRPr="00871C2F">
        <w:rPr>
          <w:rFonts w:ascii="Times New Roman" w:hAnsi="Times New Roman" w:cs="Times New Roman"/>
          <w:lang w:val="en-US"/>
        </w:rPr>
        <w:t>TAVI</w:t>
      </w:r>
      <w:r w:rsidRPr="00871C2F">
        <w:rPr>
          <w:rFonts w:ascii="Times New Roman" w:hAnsi="Times New Roman" w:cs="Times New Roman"/>
        </w:rPr>
        <w:t xml:space="preserve">, отсрочка ЧКВ была не хуже, чем ЧКВ до </w:t>
      </w:r>
      <w:r w:rsidRPr="00871C2F">
        <w:rPr>
          <w:rFonts w:ascii="Times New Roman" w:hAnsi="Times New Roman" w:cs="Times New Roman"/>
          <w:lang w:val="en-US"/>
        </w:rPr>
        <w:t>TAVI</w:t>
      </w:r>
      <w:r w:rsidRPr="00871C2F">
        <w:rPr>
          <w:rFonts w:ascii="Times New Roman" w:hAnsi="Times New Roman" w:cs="Times New Roman"/>
        </w:rPr>
        <w:t>, по совокупному показателю смертности от всех причин, инфаркта миокарда, инсульта и большого кровотечения за 1 год. Эти результаты свидетельствуют о том, что первоначальная консервативная стратегия может быть целесообразной у отдельных пациентов, хотя индивидуальные решения о лечении остаются крайне важными.</w:t>
      </w:r>
    </w:p>
    <w:p w:rsidR="002E01A6" w:rsidRPr="00871C2F" w:rsidRDefault="002E01A6" w:rsidP="00871C2F">
      <w:pPr>
        <w:tabs>
          <w:tab w:val="left" w:pos="3634"/>
        </w:tabs>
        <w:spacing w:line="360" w:lineRule="auto"/>
        <w:rPr>
          <w:rFonts w:ascii="Times New Roman" w:hAnsi="Times New Roman" w:cs="Times New Roman"/>
        </w:rPr>
      </w:pPr>
    </w:p>
    <w:p w:rsidR="002E01A6" w:rsidRPr="00871C2F" w:rsidRDefault="009A1BF4" w:rsidP="00871C2F">
      <w:pPr>
        <w:tabs>
          <w:tab w:val="left" w:pos="3634"/>
        </w:tabs>
        <w:spacing w:line="360" w:lineRule="auto"/>
        <w:rPr>
          <w:rFonts w:ascii="Times New Roman" w:hAnsi="Times New Roman" w:cs="Times New Roman"/>
        </w:rPr>
      </w:pPr>
      <w:hyperlink r:id="rId13" w:history="1">
        <w:r w:rsidR="00646763" w:rsidRPr="00871C2F">
          <w:rPr>
            <w:rStyle w:val="a3"/>
            <w:rFonts w:ascii="Times New Roman" w:hAnsi="Times New Roman" w:cs="Times New Roman"/>
          </w:rPr>
          <w:t>https://www.thelancet.com/journals/lancet/article/PIIS0140-6736(26)00308-9/abstract</w:t>
        </w:r>
      </w:hyperlink>
    </w:p>
    <w:p w:rsidR="00646763" w:rsidRPr="00871C2F" w:rsidRDefault="00646763" w:rsidP="00871C2F">
      <w:pPr>
        <w:tabs>
          <w:tab w:val="left" w:pos="3634"/>
        </w:tabs>
        <w:spacing w:line="360" w:lineRule="auto"/>
        <w:rPr>
          <w:rFonts w:ascii="Times New Roman" w:hAnsi="Times New Roman" w:cs="Times New Roman"/>
        </w:rPr>
      </w:pPr>
    </w:p>
    <w:p w:rsidR="00871C2F" w:rsidRPr="00871C2F" w:rsidRDefault="00871C2F" w:rsidP="00871C2F">
      <w:pPr>
        <w:pStyle w:val="a6"/>
        <w:shd w:val="clear" w:color="auto" w:fill="FFFFFF" w:themeFill="background1"/>
        <w:spacing w:before="0" w:beforeAutospacing="0" w:after="0" w:afterAutospacing="0" w:line="360" w:lineRule="auto"/>
        <w:rPr>
          <w:rFonts w:eastAsiaTheme="minorHAnsi"/>
          <w:kern w:val="2"/>
          <w:lang w:val="en-US" w:eastAsia="en-US"/>
          <w14:ligatures w14:val="standardContextual"/>
        </w:rPr>
      </w:pPr>
    </w:p>
    <w:p w:rsidR="00871C2F" w:rsidRPr="00871C2F" w:rsidRDefault="00871C2F" w:rsidP="00871C2F">
      <w:pPr>
        <w:pStyle w:val="a6"/>
        <w:shd w:val="clear" w:color="auto" w:fill="FFFFFF" w:themeFill="background1"/>
        <w:spacing w:before="0" w:beforeAutospacing="0" w:after="0" w:afterAutospacing="0" w:line="360" w:lineRule="auto"/>
        <w:rPr>
          <w:rFonts w:eastAsiaTheme="minorHAnsi"/>
          <w:kern w:val="2"/>
          <w:lang w:val="en-US" w:eastAsia="en-US"/>
          <w14:ligatures w14:val="standardContextual"/>
        </w:rPr>
      </w:pPr>
      <w:r w:rsidRPr="00871C2F">
        <w:rPr>
          <w:rFonts w:eastAsiaTheme="minorHAnsi"/>
          <w:kern w:val="2"/>
          <w:lang w:eastAsia="en-US"/>
          <w14:ligatures w14:val="standardContextual"/>
        </w:rPr>
        <w:t>Текст</w:t>
      </w:r>
      <w:r w:rsidRPr="00871C2F">
        <w:rPr>
          <w:rFonts w:eastAsiaTheme="minorHAnsi"/>
          <w:kern w:val="2"/>
          <w:lang w:val="en-US" w:eastAsia="en-US"/>
          <w14:ligatures w14:val="standardContextual"/>
        </w:rPr>
        <w:t xml:space="preserve">: </w:t>
      </w:r>
      <w:r w:rsidRPr="00871C2F">
        <w:rPr>
          <w:rFonts w:eastAsiaTheme="minorHAnsi"/>
          <w:kern w:val="2"/>
          <w:lang w:eastAsia="en-US"/>
          <w14:ligatures w14:val="standardContextual"/>
        </w:rPr>
        <w:t>Шахматова</w:t>
      </w:r>
      <w:r w:rsidRPr="00871C2F">
        <w:rPr>
          <w:rFonts w:eastAsiaTheme="minorHAnsi"/>
          <w:kern w:val="2"/>
          <w:lang w:val="en-US" w:eastAsia="en-US"/>
          <w14:ligatures w14:val="standardContextual"/>
        </w:rPr>
        <w:t xml:space="preserve"> </w:t>
      </w:r>
      <w:r w:rsidRPr="00871C2F">
        <w:rPr>
          <w:rFonts w:eastAsiaTheme="minorHAnsi"/>
          <w:kern w:val="2"/>
          <w:lang w:eastAsia="en-US"/>
          <w14:ligatures w14:val="standardContextual"/>
        </w:rPr>
        <w:t>О</w:t>
      </w:r>
      <w:r w:rsidRPr="00871C2F">
        <w:rPr>
          <w:rFonts w:eastAsiaTheme="minorHAnsi"/>
          <w:kern w:val="2"/>
          <w:lang w:val="en-US" w:eastAsia="en-US"/>
          <w14:ligatures w14:val="standardContextual"/>
        </w:rPr>
        <w:t>.</w:t>
      </w:r>
      <w:r w:rsidRPr="00871C2F">
        <w:rPr>
          <w:rFonts w:eastAsiaTheme="minorHAnsi"/>
          <w:kern w:val="2"/>
          <w:lang w:eastAsia="en-US"/>
          <w14:ligatures w14:val="standardContextual"/>
        </w:rPr>
        <w:t>О</w:t>
      </w:r>
      <w:r w:rsidRPr="00871C2F">
        <w:rPr>
          <w:rFonts w:eastAsiaTheme="minorHAnsi"/>
          <w:kern w:val="2"/>
          <w:lang w:val="en-US" w:eastAsia="en-US"/>
          <w14:ligatures w14:val="standardContextual"/>
        </w:rPr>
        <w:t>.</w:t>
      </w:r>
    </w:p>
    <w:p w:rsidR="00871C2F" w:rsidRPr="00871C2F" w:rsidRDefault="00871C2F" w:rsidP="00871C2F">
      <w:pPr>
        <w:spacing w:line="360" w:lineRule="auto"/>
        <w:rPr>
          <w:rFonts w:ascii="Times New Roman" w:hAnsi="Times New Roman" w:cs="Times New Roman"/>
          <w:lang w:val="en-US"/>
        </w:rPr>
      </w:pPr>
    </w:p>
    <w:p w:rsidR="00871C2F" w:rsidRPr="00871C2F" w:rsidRDefault="00871C2F" w:rsidP="00871C2F">
      <w:pPr>
        <w:tabs>
          <w:tab w:val="left" w:pos="3634"/>
        </w:tabs>
        <w:spacing w:line="360" w:lineRule="auto"/>
        <w:rPr>
          <w:rFonts w:ascii="Times New Roman" w:hAnsi="Times New Roman" w:cs="Times New Roman"/>
          <w:lang w:val="en-US"/>
        </w:rPr>
      </w:pPr>
    </w:p>
    <w:p w:rsidR="00873CCF" w:rsidRPr="00871C2F" w:rsidRDefault="00873CCF" w:rsidP="00871C2F">
      <w:pPr>
        <w:tabs>
          <w:tab w:val="left" w:pos="3634"/>
        </w:tabs>
        <w:spacing w:line="360" w:lineRule="auto"/>
        <w:rPr>
          <w:rFonts w:ascii="Times New Roman" w:hAnsi="Times New Roman" w:cs="Times New Roman"/>
          <w:lang w:val="en-US"/>
        </w:rPr>
      </w:pPr>
    </w:p>
    <w:p w:rsidR="00D1209B" w:rsidRPr="00871C2F" w:rsidRDefault="00D1209B" w:rsidP="00871C2F">
      <w:pPr>
        <w:tabs>
          <w:tab w:val="left" w:pos="3634"/>
        </w:tabs>
        <w:spacing w:line="360" w:lineRule="auto"/>
        <w:rPr>
          <w:rFonts w:ascii="Times New Roman" w:hAnsi="Times New Roman" w:cs="Times New Roman"/>
          <w:lang w:val="en-US"/>
        </w:rPr>
      </w:pPr>
    </w:p>
    <w:p w:rsidR="00D1209B" w:rsidRPr="00871C2F" w:rsidRDefault="00D1209B" w:rsidP="00871C2F">
      <w:pPr>
        <w:tabs>
          <w:tab w:val="left" w:pos="3634"/>
        </w:tabs>
        <w:spacing w:line="360" w:lineRule="auto"/>
        <w:rPr>
          <w:rFonts w:ascii="Times New Roman" w:hAnsi="Times New Roman" w:cs="Times New Roman"/>
          <w:lang w:val="en-US"/>
        </w:rPr>
      </w:pPr>
    </w:p>
    <w:p w:rsidR="00E12E40" w:rsidRPr="00871C2F" w:rsidRDefault="00E12E40" w:rsidP="00871C2F">
      <w:pPr>
        <w:tabs>
          <w:tab w:val="left" w:pos="3634"/>
        </w:tabs>
        <w:spacing w:line="360" w:lineRule="auto"/>
        <w:rPr>
          <w:rFonts w:ascii="Times New Roman" w:hAnsi="Times New Roman" w:cs="Times New Roman"/>
          <w:lang w:val="en-US"/>
        </w:rPr>
      </w:pPr>
    </w:p>
    <w:sectPr w:rsidR="00E12E40" w:rsidRPr="00871C2F" w:rsidSect="004574C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FC1"/>
    <w:rsid w:val="00195FC1"/>
    <w:rsid w:val="002744DA"/>
    <w:rsid w:val="002E01A6"/>
    <w:rsid w:val="003277B8"/>
    <w:rsid w:val="00354914"/>
    <w:rsid w:val="00392D62"/>
    <w:rsid w:val="00413451"/>
    <w:rsid w:val="00441C34"/>
    <w:rsid w:val="004574C6"/>
    <w:rsid w:val="004957C6"/>
    <w:rsid w:val="00646763"/>
    <w:rsid w:val="006E260C"/>
    <w:rsid w:val="00754284"/>
    <w:rsid w:val="00791905"/>
    <w:rsid w:val="007920A6"/>
    <w:rsid w:val="007F50ED"/>
    <w:rsid w:val="00871C2F"/>
    <w:rsid w:val="00873CCF"/>
    <w:rsid w:val="0095783E"/>
    <w:rsid w:val="009859F2"/>
    <w:rsid w:val="009A1BF4"/>
    <w:rsid w:val="009B6D4E"/>
    <w:rsid w:val="00A440D3"/>
    <w:rsid w:val="00A574BB"/>
    <w:rsid w:val="00A6255B"/>
    <w:rsid w:val="00A82DCE"/>
    <w:rsid w:val="00AC06E4"/>
    <w:rsid w:val="00B460B3"/>
    <w:rsid w:val="00B605ED"/>
    <w:rsid w:val="00BC4FED"/>
    <w:rsid w:val="00BE24C6"/>
    <w:rsid w:val="00C0160B"/>
    <w:rsid w:val="00C656DC"/>
    <w:rsid w:val="00C84BE5"/>
    <w:rsid w:val="00CF2F6B"/>
    <w:rsid w:val="00D1209B"/>
    <w:rsid w:val="00D901B3"/>
    <w:rsid w:val="00DC3C16"/>
    <w:rsid w:val="00E12E40"/>
    <w:rsid w:val="00F2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2D97FD-96AE-8E47-BD65-7496B3DF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C06E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24C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E24C6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BE24C6"/>
    <w:rPr>
      <w:color w:val="954F72" w:themeColor="followedHyperlink"/>
      <w:u w:val="single"/>
    </w:rPr>
  </w:style>
  <w:style w:type="character" w:styleId="a5">
    <w:name w:val="Strong"/>
    <w:basedOn w:val="a0"/>
    <w:uiPriority w:val="22"/>
    <w:qFormat/>
    <w:rsid w:val="0035491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C06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6">
    <w:name w:val="Normal (Web)"/>
    <w:basedOn w:val="a"/>
    <w:uiPriority w:val="99"/>
    <w:unhideWhenUsed/>
    <w:rsid w:val="00F218F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3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jm.org/doi/full/10.1056/NEJMoa2517213" TargetMode="External"/><Relationship Id="rId13" Type="http://schemas.openxmlformats.org/officeDocument/2006/relationships/hyperlink" Target="https://www.thelancet.com/journals/lancet/article/PIIS0140-6736(26)00308-9/abstrac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jacc.org/doi/10.1016/j.jacc.2026.02.1280" TargetMode="External"/><Relationship Id="rId12" Type="http://schemas.openxmlformats.org/officeDocument/2006/relationships/hyperlink" Target="https://www.nejm.org/doi/full/10.1056/NEJMoa260044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acc.org/doi/10.1016/j.jacc.2026.02.1049" TargetMode="External"/><Relationship Id="rId11" Type="http://schemas.openxmlformats.org/officeDocument/2006/relationships/hyperlink" Target="https://www.nejm.org/doi/full/10.1056/NEJMoa2601521" TargetMode="External"/><Relationship Id="rId5" Type="http://schemas.openxmlformats.org/officeDocument/2006/relationships/hyperlink" Target="https://www.jacc.org/doi/10.1016/j.jacc.2026.02.973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jacc.org/doi/10.1016/j.jacc.2026.03.036" TargetMode="External"/><Relationship Id="rId4" Type="http://schemas.openxmlformats.org/officeDocument/2006/relationships/hyperlink" Target="https://www.jacc.org/doi/10.1016/j.jacc.2026.02.308" TargetMode="External"/><Relationship Id="rId9" Type="http://schemas.openxmlformats.org/officeDocument/2006/relationships/hyperlink" Target="https://www.nejm.org/doi/full/10.1056/NEJMoa251656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15</Pages>
  <Words>5268</Words>
  <Characters>30033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20</dc:creator>
  <cp:keywords/>
  <dc:description/>
  <cp:lastModifiedBy>Шахматова Ольга Олеговна</cp:lastModifiedBy>
  <cp:revision>7</cp:revision>
  <dcterms:created xsi:type="dcterms:W3CDTF">2026-04-27T09:42:00Z</dcterms:created>
  <dcterms:modified xsi:type="dcterms:W3CDTF">2026-04-27T11:18:00Z</dcterms:modified>
</cp:coreProperties>
</file>