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1A68" w14:textId="3ED6668C" w:rsidR="006E260C" w:rsidRDefault="0091267A" w:rsidP="006668CD">
      <w:pPr>
        <w:spacing w:line="360" w:lineRule="auto"/>
        <w:rPr>
          <w:b/>
          <w:bCs/>
        </w:rPr>
      </w:pPr>
      <w:r w:rsidRPr="0091267A">
        <w:rPr>
          <w:b/>
          <w:bCs/>
        </w:rPr>
        <w:t xml:space="preserve">Дайджест некоторых исследований, доложенных на конгрессе Европейского общества кардиологов </w:t>
      </w:r>
      <w:r w:rsidR="006668CD">
        <w:rPr>
          <w:b/>
          <w:bCs/>
        </w:rPr>
        <w:t xml:space="preserve">и научной сессии АНА </w:t>
      </w:r>
      <w:r w:rsidR="00B553F7">
        <w:rPr>
          <w:b/>
          <w:bCs/>
        </w:rPr>
        <w:t xml:space="preserve">в </w:t>
      </w:r>
      <w:r w:rsidRPr="0091267A">
        <w:rPr>
          <w:b/>
          <w:bCs/>
        </w:rPr>
        <w:t>2025</w:t>
      </w:r>
      <w:r w:rsidR="00B553F7">
        <w:rPr>
          <w:b/>
          <w:bCs/>
        </w:rPr>
        <w:t xml:space="preserve"> году</w:t>
      </w:r>
    </w:p>
    <w:p w14:paraId="1C9405EC" w14:textId="75B3DF36" w:rsidR="0091267A" w:rsidRDefault="0091267A" w:rsidP="006668CD">
      <w:pPr>
        <w:spacing w:line="360" w:lineRule="auto"/>
        <w:rPr>
          <w:b/>
          <w:bCs/>
        </w:rPr>
      </w:pPr>
    </w:p>
    <w:p w14:paraId="29FA0E63" w14:textId="3AB64764" w:rsidR="0091267A" w:rsidRDefault="0091267A" w:rsidP="006668CD">
      <w:pPr>
        <w:spacing w:line="360" w:lineRule="auto"/>
        <w:rPr>
          <w:b/>
          <w:bCs/>
        </w:rPr>
      </w:pPr>
      <w:r w:rsidRPr="0091267A">
        <w:rPr>
          <w:rFonts w:eastAsiaTheme="minorEastAsia"/>
          <w:b/>
          <w:bCs/>
          <w:lang w:val="en-US"/>
        </w:rPr>
        <w:t>ALONE</w:t>
      </w:r>
      <w:r w:rsidRPr="0091267A">
        <w:rPr>
          <w:rFonts w:eastAsiaTheme="minorEastAsia"/>
          <w:b/>
          <w:bCs/>
        </w:rPr>
        <w:t>-</w:t>
      </w:r>
      <w:r w:rsidRPr="0091267A">
        <w:rPr>
          <w:rFonts w:eastAsiaTheme="minorEastAsia"/>
          <w:b/>
          <w:bCs/>
          <w:lang w:val="en-US"/>
        </w:rPr>
        <w:t>AF</w:t>
      </w:r>
      <w:r w:rsidRPr="0091267A">
        <w:rPr>
          <w:rFonts w:eastAsiaTheme="minorEastAsia"/>
          <w:b/>
          <w:bCs/>
        </w:rPr>
        <w:t xml:space="preserve">: отмена АКГ после успешной </w:t>
      </w:r>
      <w:proofErr w:type="spellStart"/>
      <w:r w:rsidRPr="0091267A">
        <w:rPr>
          <w:rFonts w:eastAsiaTheme="minorEastAsia"/>
          <w:b/>
          <w:bCs/>
        </w:rPr>
        <w:t>аблации</w:t>
      </w:r>
      <w:proofErr w:type="spellEnd"/>
      <w:r w:rsidRPr="0091267A">
        <w:rPr>
          <w:rFonts w:eastAsiaTheme="minorEastAsia"/>
          <w:b/>
          <w:bCs/>
        </w:rPr>
        <w:t xml:space="preserve"> </w:t>
      </w:r>
    </w:p>
    <w:p w14:paraId="1C010B4C" w14:textId="6F759D94" w:rsidR="00607BC2" w:rsidRDefault="00607BC2" w:rsidP="006668CD">
      <w:pPr>
        <w:spacing w:line="360" w:lineRule="auto"/>
      </w:pPr>
      <w:r>
        <w:t xml:space="preserve">Сложившейся клинической практикой является обязательное назначение антикоагулянтов на 2 месяца после </w:t>
      </w:r>
      <w:proofErr w:type="spellStart"/>
      <w:r>
        <w:t>аблации</w:t>
      </w:r>
      <w:proofErr w:type="spellEnd"/>
      <w:r>
        <w:t xml:space="preserve">, после чего решение о продлении терапии принимается исходя из риска ТЭО без учета успешности проведенной </w:t>
      </w:r>
      <w:proofErr w:type="spellStart"/>
      <w:r>
        <w:t>аблации</w:t>
      </w:r>
      <w:proofErr w:type="spellEnd"/>
      <w:r>
        <w:t>.</w:t>
      </w:r>
    </w:p>
    <w:p w14:paraId="01DCA59C" w14:textId="3A6A5A56" w:rsidR="00607BC2" w:rsidRPr="00607BC2" w:rsidRDefault="00607BC2" w:rsidP="006668CD">
      <w:pPr>
        <w:spacing w:line="360" w:lineRule="auto"/>
      </w:pPr>
      <w:r>
        <w:t xml:space="preserve">Исследование </w:t>
      </w:r>
      <w:r>
        <w:rPr>
          <w:lang w:val="en-US"/>
        </w:rPr>
        <w:t>ALONE</w:t>
      </w:r>
      <w:r w:rsidRPr="00607BC2">
        <w:t>-</w:t>
      </w:r>
      <w:r>
        <w:rPr>
          <w:lang w:val="en-US"/>
        </w:rPr>
        <w:t>AF</w:t>
      </w:r>
      <w:r w:rsidRPr="00607BC2">
        <w:t xml:space="preserve"> </w:t>
      </w:r>
      <w:r>
        <w:t>проведено с целью о</w:t>
      </w:r>
      <w:r w:rsidRPr="00607BC2">
        <w:t xml:space="preserve">ценить, обеспечивает ли прекращение приема пероральных антикоагулянтов лучшие клинические результаты по сравнению с продолжением приема пероральных антикоагулянтов у пациентов без документированного рецидива предсердной аритмии после </w:t>
      </w:r>
      <w:proofErr w:type="spellStart"/>
      <w:r w:rsidRPr="00607BC2">
        <w:t>катетерной</w:t>
      </w:r>
      <w:proofErr w:type="spellEnd"/>
      <w:r w:rsidRPr="00607BC2">
        <w:t xml:space="preserve"> абляции ФП.</w:t>
      </w:r>
    </w:p>
    <w:p w14:paraId="77932F3A" w14:textId="665933C0" w:rsidR="00AF4F4A" w:rsidRDefault="00607BC2" w:rsidP="006668CD">
      <w:pPr>
        <w:spacing w:line="360" w:lineRule="auto"/>
      </w:pPr>
      <w:r>
        <w:t xml:space="preserve">Исследование </w:t>
      </w:r>
      <w:proofErr w:type="spellStart"/>
      <w:r>
        <w:t>р</w:t>
      </w:r>
      <w:r w:rsidRPr="00607BC2">
        <w:t>андомизированное</w:t>
      </w:r>
      <w:proofErr w:type="spellEnd"/>
      <w:r>
        <w:t xml:space="preserve">, включено </w:t>
      </w:r>
      <w:r w:rsidRPr="00607BC2">
        <w:t xml:space="preserve">840 пациентов в возрасте от 19 до 80 лет, </w:t>
      </w:r>
      <w:r>
        <w:t>из</w:t>
      </w:r>
      <w:r w:rsidRPr="00607BC2">
        <w:t xml:space="preserve"> 18 </w:t>
      </w:r>
      <w:r>
        <w:t xml:space="preserve">клиник </w:t>
      </w:r>
      <w:r w:rsidRPr="00607BC2">
        <w:t xml:space="preserve">Южной Кореи. </w:t>
      </w:r>
      <w:r>
        <w:t>Критериями включения было наличие</w:t>
      </w:r>
      <w:r w:rsidRPr="00607BC2">
        <w:t xml:space="preserve"> как минимум од</w:t>
      </w:r>
      <w:r>
        <w:t>ного</w:t>
      </w:r>
      <w:r w:rsidRPr="00607BC2">
        <w:t xml:space="preserve"> фактор</w:t>
      </w:r>
      <w:r>
        <w:t>а</w:t>
      </w:r>
      <w:r w:rsidRPr="00607BC2">
        <w:t xml:space="preserve"> риска инсульта, не связанн</w:t>
      </w:r>
      <w:r>
        <w:t>ого</w:t>
      </w:r>
      <w:r w:rsidRPr="00607BC2">
        <w:t xml:space="preserve"> с полом (определяемый с помощью шкалы CHA2DS2-VASc [диапазон значений: от 0 до 9]), а также отсутств</w:t>
      </w:r>
      <w:r>
        <w:t>ие</w:t>
      </w:r>
      <w:r w:rsidRPr="00607BC2">
        <w:t xml:space="preserve"> зарегистрированн</w:t>
      </w:r>
      <w:r>
        <w:t xml:space="preserve">ого </w:t>
      </w:r>
      <w:r w:rsidRPr="00607BC2">
        <w:t>рецидив</w:t>
      </w:r>
      <w:r>
        <w:t>а</w:t>
      </w:r>
      <w:r w:rsidRPr="00607BC2">
        <w:t xml:space="preserve"> </w:t>
      </w:r>
      <w:r w:rsidR="00FE308A">
        <w:t>предсердной аритмии</w:t>
      </w:r>
      <w:r w:rsidRPr="00607BC2">
        <w:t xml:space="preserve"> в течение как минимум 1 года после </w:t>
      </w:r>
      <w:proofErr w:type="spellStart"/>
      <w:r w:rsidRPr="00607BC2">
        <w:t>катетерной</w:t>
      </w:r>
      <w:proofErr w:type="spellEnd"/>
      <w:r w:rsidRPr="00607BC2">
        <w:t xml:space="preserve"> абляци</w:t>
      </w:r>
      <w:r w:rsidR="00AF4F4A">
        <w:t>и</w:t>
      </w:r>
      <w:r w:rsidR="00FE308A">
        <w:t xml:space="preserve"> ФП</w:t>
      </w:r>
      <w:r w:rsidRPr="00607BC2">
        <w:t xml:space="preserve">. </w:t>
      </w:r>
    </w:p>
    <w:p w14:paraId="7106EA8C" w14:textId="6487C7CB" w:rsidR="00607BC2" w:rsidRPr="00607BC2" w:rsidRDefault="00607BC2" w:rsidP="006668CD">
      <w:pPr>
        <w:spacing w:line="360" w:lineRule="auto"/>
      </w:pPr>
      <w:r w:rsidRPr="00607BC2">
        <w:t xml:space="preserve">Пациенты были </w:t>
      </w:r>
      <w:proofErr w:type="spellStart"/>
      <w:r w:rsidRPr="00607BC2">
        <w:t>рандомизированы</w:t>
      </w:r>
      <w:proofErr w:type="spellEnd"/>
      <w:r w:rsidRPr="00607BC2">
        <w:t xml:space="preserve"> в соотношении 1:1 для прекращения терапии пероральными антикоагулянтами (n = 417) или продолжения терапии пероральными антикоагулянтами (с использованием прямых пероральных антикоагулянтов; n = 423).</w:t>
      </w:r>
    </w:p>
    <w:p w14:paraId="572646CC" w14:textId="2D8113BA" w:rsidR="00607BC2" w:rsidRPr="00607BC2" w:rsidRDefault="00607BC2" w:rsidP="006668CD">
      <w:pPr>
        <w:spacing w:line="360" w:lineRule="auto"/>
      </w:pPr>
      <w:r w:rsidRPr="00607BC2">
        <w:t>Первичн</w:t>
      </w:r>
      <w:r w:rsidR="00AF4F4A">
        <w:t>ой конечной точкой</w:t>
      </w:r>
      <w:r w:rsidRPr="00607BC2">
        <w:t xml:space="preserve"> было первое возникновение инсульта</w:t>
      </w:r>
      <w:r w:rsidR="00AF4F4A">
        <w:t>/</w:t>
      </w:r>
      <w:r w:rsidRPr="00607BC2">
        <w:t>системной эмболии и</w:t>
      </w:r>
      <w:r w:rsidR="00AF4F4A">
        <w:t xml:space="preserve">ли </w:t>
      </w:r>
      <w:r w:rsidRPr="00607BC2">
        <w:t>большого кровотечения в течение 2 лет. Отдельные компоненты первично</w:t>
      </w:r>
      <w:r w:rsidR="00AF4F4A">
        <w:t>й</w:t>
      </w:r>
      <w:r w:rsidRPr="00607BC2">
        <w:t xml:space="preserve"> </w:t>
      </w:r>
      <w:r w:rsidR="00AF4F4A">
        <w:t>конечной точки</w:t>
      </w:r>
      <w:r w:rsidRPr="00607BC2">
        <w:t xml:space="preserve"> (такие как ишемический инсульт и большое кровотечение) оценивались как вторичные </w:t>
      </w:r>
      <w:r w:rsidR="00AF4F4A">
        <w:t>конечные точки.</w:t>
      </w:r>
    </w:p>
    <w:p w14:paraId="7276E988" w14:textId="502F92BB" w:rsidR="00607BC2" w:rsidRDefault="00607BC2" w:rsidP="006668CD">
      <w:pPr>
        <w:spacing w:line="360" w:lineRule="auto"/>
      </w:pPr>
      <w:r w:rsidRPr="00607BC2">
        <w:t xml:space="preserve">Средний возраст </w:t>
      </w:r>
      <w:r w:rsidR="00FE308A">
        <w:t>пациентов</w:t>
      </w:r>
      <w:r w:rsidRPr="00607BC2">
        <w:t xml:space="preserve"> составил 64 года, 24,9% составили женщины, средний балл по шкале CHA2DS2-VASc </w:t>
      </w:r>
      <w:r w:rsidR="00FE308A">
        <w:t>-</w:t>
      </w:r>
      <w:r w:rsidRPr="00607BC2">
        <w:t xml:space="preserve"> 2,1, и у 67,6% была пароксизмальная форма ФП. </w:t>
      </w:r>
      <w:r w:rsidR="00354BBB">
        <w:t xml:space="preserve">Среднее время от </w:t>
      </w:r>
      <w:proofErr w:type="spellStart"/>
      <w:r w:rsidR="00354BBB">
        <w:t>аблации</w:t>
      </w:r>
      <w:proofErr w:type="spellEnd"/>
      <w:r w:rsidR="00354BBB">
        <w:t xml:space="preserve"> до рандомизации составило 3,6 года</w:t>
      </w:r>
      <w:r w:rsidR="00354BBB" w:rsidRPr="00354BBB">
        <w:t xml:space="preserve">. </w:t>
      </w:r>
      <w:r w:rsidRPr="00607BC2">
        <w:t xml:space="preserve">Через 2 года первичная конечная точка наблюдалась у 1 пациента (0,3%) в группе, прекратившей терапию пероральными антикоагулянтами, против 8 пациентов (2,2%) в группе, продолжавшей терапию пероральными антикоагулянтами (абсолютная разница –1,9 процентных пункта [95% ДИ, от –3,5 до –0,3]; P = 0,02). Двухлетняя кумулятивная частота ишемического инсульта составила 0,3% в группе, прекратившей терапию пероральными антикоагулянтами, против 0,8% в группе, продолжавшей терапию пероральными антикоагулянтами (абсолютная разница –0,5 процентных пункта [95% ДИ, от –1,6 до 0,6]). Крупное кровотечение наблюдалось у 0 пациентов в группе, прекративших терапию пероральными </w:t>
      </w:r>
      <w:r w:rsidRPr="00607BC2">
        <w:lastRenderedPageBreak/>
        <w:t>антикоагулянтами, по сравнению с 5 пациентами (1,4%) в группе, продолжившей терапию пероральными антикоагулянтами (абсолютная разница –1,4 процентных пункта [95% ДИ, от –2,6 до –0,2]).</w:t>
      </w:r>
    </w:p>
    <w:p w14:paraId="4C1CF65C" w14:textId="41D6136C" w:rsidR="00354BBB" w:rsidRPr="00607BC2" w:rsidRDefault="00354BBB" w:rsidP="006668CD">
      <w:pPr>
        <w:spacing w:line="360" w:lineRule="auto"/>
        <w:ind w:firstLine="708"/>
      </w:pPr>
      <w:r w:rsidRPr="00354BBB">
        <w:t>Частота рецидивов предсердной аритмии в течение двухлетнего наблюдения составила 9,6% среди пациентов, не принимавших ОАК, и 8,7% среди тех, кто продолжал лечение, при этом медианное время до рецидива составило 10,7 и 12,4 месяца соответственно.</w:t>
      </w:r>
      <w:r w:rsidR="00592FCD">
        <w:t xml:space="preserve"> Эффективность </w:t>
      </w:r>
      <w:proofErr w:type="spellStart"/>
      <w:r w:rsidR="00592FCD">
        <w:t>аблации</w:t>
      </w:r>
      <w:proofErr w:type="spellEnd"/>
      <w:r w:rsidR="00592FCD">
        <w:t xml:space="preserve"> контролировалась лишь относительно редкими ХМ-ЭКГ. </w:t>
      </w:r>
    </w:p>
    <w:p w14:paraId="4658D1CD" w14:textId="0FB945AD" w:rsidR="00607BC2" w:rsidRDefault="00FE308A" w:rsidP="006668CD">
      <w:pPr>
        <w:spacing w:line="360" w:lineRule="auto"/>
        <w:ind w:firstLine="708"/>
      </w:pPr>
      <w:proofErr w:type="spellStart"/>
      <w:r>
        <w:t>Т.</w:t>
      </w:r>
      <w:r w:rsidR="00354BBB">
        <w:t>о</w:t>
      </w:r>
      <w:proofErr w:type="spellEnd"/>
      <w:r>
        <w:t>.,</w:t>
      </w:r>
      <w:r w:rsidR="00607BC2" w:rsidRPr="00607BC2">
        <w:t xml:space="preserve"> </w:t>
      </w:r>
      <w:r>
        <w:t>с</w:t>
      </w:r>
      <w:r w:rsidR="00607BC2" w:rsidRPr="00607BC2">
        <w:t xml:space="preserve">реди пациентов без документированного рецидива предсердной аритмии после </w:t>
      </w:r>
      <w:proofErr w:type="spellStart"/>
      <w:r w:rsidR="00607BC2" w:rsidRPr="00607BC2">
        <w:t>катетерной</w:t>
      </w:r>
      <w:proofErr w:type="spellEnd"/>
      <w:r w:rsidR="00607BC2" w:rsidRPr="00607BC2">
        <w:t xml:space="preserve"> абляции по поводу ФП прекращение терапии пероральными антикоагулянтами приводило к снижению риска комплексного исхода: инсульта, системной эмболии и крупного кровотечения, по сравнению с продолжением прямой терапии пероральными антикоагулянтами.</w:t>
      </w:r>
    </w:p>
    <w:p w14:paraId="51B2B212" w14:textId="1EA18DCD" w:rsidR="00592FCD" w:rsidRDefault="00592FCD" w:rsidP="006668CD">
      <w:pPr>
        <w:spacing w:line="360" w:lineRule="auto"/>
        <w:ind w:firstLine="708"/>
      </w:pPr>
      <w:r>
        <w:t xml:space="preserve">Исследование имеет ряд ограничений: включены пациенты невысокого риска ТЭО. Между тем, наблюдательные исследования показывают, что после успешно </w:t>
      </w:r>
      <w:proofErr w:type="spellStart"/>
      <w:r>
        <w:t>аблации</w:t>
      </w:r>
      <w:proofErr w:type="spellEnd"/>
      <w:r>
        <w:t xml:space="preserve"> риск инсульта снижается, но у пациентов с </w:t>
      </w:r>
      <w:r>
        <w:rPr>
          <w:lang w:val="en-US"/>
        </w:rPr>
        <w:t>CHA</w:t>
      </w:r>
      <w:r w:rsidRPr="00592FCD">
        <w:t>2</w:t>
      </w:r>
      <w:r>
        <w:rPr>
          <w:lang w:val="en-US"/>
        </w:rPr>
        <w:t>DS</w:t>
      </w:r>
      <w:r w:rsidRPr="00592FCD">
        <w:t>2-</w:t>
      </w:r>
      <w:r>
        <w:rPr>
          <w:lang w:val="en-US"/>
        </w:rPr>
        <w:t>VASc</w:t>
      </w:r>
      <w:r w:rsidRPr="00592FCD">
        <w:t xml:space="preserve"> </w:t>
      </w:r>
      <w:r>
        <w:t xml:space="preserve">более 2 баллов остается значимым. Кроме того, обращает на себя внимание большая частота инсультов в группе продолжения АКГ, что ставит под сомнение сбалансированность групп по «тяжести» и </w:t>
      </w:r>
      <w:proofErr w:type="spellStart"/>
      <w:r>
        <w:t>коморбидности</w:t>
      </w:r>
      <w:proofErr w:type="spellEnd"/>
      <w:r>
        <w:t xml:space="preserve">. </w:t>
      </w:r>
      <w:r w:rsidR="00551E4B">
        <w:t xml:space="preserve">Также трактовку результатов затрудняет отсутствие информации о сбалансированности бремени ФП в группах. </w:t>
      </w:r>
    </w:p>
    <w:p w14:paraId="36C9BD60" w14:textId="24CB96CF" w:rsidR="00551E4B" w:rsidRDefault="00551E4B" w:rsidP="006668CD">
      <w:pPr>
        <w:spacing w:line="360" w:lineRule="auto"/>
        <w:ind w:firstLine="708"/>
      </w:pPr>
      <w:r>
        <w:t xml:space="preserve">В ближайшее время ожидаются результаты исследований, в которых у пациентов с ФП после </w:t>
      </w:r>
      <w:proofErr w:type="spellStart"/>
      <w:r>
        <w:t>аблации</w:t>
      </w:r>
      <w:proofErr w:type="spellEnd"/>
      <w:r>
        <w:t xml:space="preserve"> будет проведено сравнение аспирина с антикоагулянтами, а также оценена тактика назначения АКГ «по требованию» при рецидиве ФП, выявленному при постоянном </w:t>
      </w:r>
      <w:proofErr w:type="spellStart"/>
      <w:r>
        <w:t>мониторировании</w:t>
      </w:r>
      <w:proofErr w:type="spellEnd"/>
      <w:r>
        <w:t>.</w:t>
      </w:r>
    </w:p>
    <w:p w14:paraId="6E91523A" w14:textId="580C694A" w:rsidR="00FE308A" w:rsidRDefault="00FE308A" w:rsidP="006668CD">
      <w:pPr>
        <w:spacing w:line="360" w:lineRule="auto"/>
      </w:pPr>
    </w:p>
    <w:p w14:paraId="6F301D36" w14:textId="4FA9F925" w:rsidR="00FE308A" w:rsidRDefault="00FE308A" w:rsidP="006668CD">
      <w:pPr>
        <w:spacing w:line="360" w:lineRule="auto"/>
      </w:pPr>
      <w:r>
        <w:t>По материалам:</w:t>
      </w:r>
    </w:p>
    <w:p w14:paraId="586AFDCC" w14:textId="77777777" w:rsidR="00FE308A" w:rsidRPr="00514B58" w:rsidRDefault="00FE308A" w:rsidP="006668CD">
      <w:pPr>
        <w:spacing w:line="360" w:lineRule="auto"/>
        <w:rPr>
          <w:lang w:val="en-US"/>
        </w:rPr>
      </w:pPr>
      <w:r w:rsidRPr="00354BBB">
        <w:t xml:space="preserve">Kim D, Shim J, Choi E, et al. </w:t>
      </w:r>
      <w:r w:rsidRPr="00514B58">
        <w:rPr>
          <w:lang w:val="en-US"/>
        </w:rPr>
        <w:t>Long-Term Anticoagulation Discontinuation After Catheter Ablation for Atrial Fibrillation: The ALONE-AF Randomized Clinical Trial. </w:t>
      </w:r>
      <w:r w:rsidRPr="00514B58">
        <w:rPr>
          <w:i/>
          <w:iCs/>
          <w:lang w:val="en-US"/>
        </w:rPr>
        <w:t>JAMA.</w:t>
      </w:r>
      <w:r w:rsidRPr="00514B58">
        <w:rPr>
          <w:lang w:val="en-US"/>
        </w:rPr>
        <w:t> 2025;334(14):1246–1254. doi:10.1001/jama.2025.14679</w:t>
      </w:r>
    </w:p>
    <w:p w14:paraId="46C7D8B5" w14:textId="44B5CD58" w:rsidR="00FE308A" w:rsidRDefault="00B553F7" w:rsidP="006668CD">
      <w:pPr>
        <w:spacing w:line="360" w:lineRule="auto"/>
        <w:rPr>
          <w:lang w:val="en-US"/>
        </w:rPr>
      </w:pPr>
      <w:hyperlink r:id="rId4" w:history="1">
        <w:r w:rsidR="00354BBB" w:rsidRPr="00E730C5">
          <w:rPr>
            <w:rStyle w:val="a4"/>
            <w:lang w:val="en-US"/>
          </w:rPr>
          <w:t>https://jamanetwork.com/journals/jama/article-abstract/2838294</w:t>
        </w:r>
      </w:hyperlink>
    </w:p>
    <w:p w14:paraId="0D938BE1" w14:textId="7069E138" w:rsidR="006868A7" w:rsidRDefault="006868A7" w:rsidP="006668CD">
      <w:pPr>
        <w:spacing w:line="360" w:lineRule="auto"/>
        <w:rPr>
          <w:lang w:val="en-US"/>
        </w:rPr>
      </w:pPr>
    </w:p>
    <w:p w14:paraId="14737471" w14:textId="6F194DF5" w:rsidR="006868A7" w:rsidRDefault="006868A7" w:rsidP="006668CD">
      <w:pPr>
        <w:spacing w:line="360" w:lineRule="auto"/>
        <w:rPr>
          <w:b/>
          <w:bCs/>
        </w:rPr>
      </w:pPr>
      <w:r w:rsidRPr="006868A7">
        <w:rPr>
          <w:b/>
          <w:bCs/>
          <w:lang w:val="en-US"/>
        </w:rPr>
        <w:t>AQUATIC</w:t>
      </w:r>
      <w:r w:rsidRPr="006868A7">
        <w:t xml:space="preserve">: </w:t>
      </w:r>
      <w:r w:rsidRPr="006868A7">
        <w:rPr>
          <w:b/>
          <w:bCs/>
        </w:rPr>
        <w:t xml:space="preserve">у стабильных пациентов с ИБС и </w:t>
      </w:r>
      <w:r w:rsidR="00872C91">
        <w:rPr>
          <w:b/>
          <w:bCs/>
        </w:rPr>
        <w:t>показаниями к длительной терапии антикоагулянтами добавление аспирина приносит вред</w:t>
      </w:r>
    </w:p>
    <w:p w14:paraId="1EF637F1" w14:textId="087C210E" w:rsidR="00094F5C" w:rsidRDefault="00094F5C" w:rsidP="006668CD">
      <w:pPr>
        <w:spacing w:line="360" w:lineRule="auto"/>
        <w:rPr>
          <w:b/>
          <w:bCs/>
        </w:rPr>
      </w:pPr>
    </w:p>
    <w:p w14:paraId="1D0CD3E7" w14:textId="65FBCB09" w:rsidR="005051E5" w:rsidRDefault="005051E5" w:rsidP="006668CD">
      <w:pPr>
        <w:spacing w:line="360" w:lineRule="auto"/>
      </w:pPr>
      <w:r>
        <w:lastRenderedPageBreak/>
        <w:t>Подходы к о</w:t>
      </w:r>
      <w:r w:rsidRPr="005051E5">
        <w:t>птимальн</w:t>
      </w:r>
      <w:r>
        <w:t>ой</w:t>
      </w:r>
      <w:r w:rsidRPr="005051E5">
        <w:t xml:space="preserve"> </w:t>
      </w:r>
      <w:proofErr w:type="spellStart"/>
      <w:r>
        <w:t>антитромботической</w:t>
      </w:r>
      <w:proofErr w:type="spellEnd"/>
      <w:r>
        <w:t xml:space="preserve"> терапии у пациентов со стабильной ИБС, характеризующихся высоким риском </w:t>
      </w:r>
      <w:proofErr w:type="spellStart"/>
      <w:r>
        <w:t>атеротромботических</w:t>
      </w:r>
      <w:proofErr w:type="spellEnd"/>
      <w:r>
        <w:t xml:space="preserve"> осложнений и имеющих показания к постоянной </w:t>
      </w:r>
      <w:proofErr w:type="spellStart"/>
      <w:r>
        <w:t>антикоаг</w:t>
      </w:r>
      <w:r w:rsidR="00204CDE">
        <w:t>у</w:t>
      </w:r>
      <w:r>
        <w:t>лянтной</w:t>
      </w:r>
      <w:proofErr w:type="spellEnd"/>
      <w:r>
        <w:t xml:space="preserve"> терапии, изучен</w:t>
      </w:r>
      <w:r w:rsidR="00872C91">
        <w:t>ы</w:t>
      </w:r>
      <w:r>
        <w:t xml:space="preserve"> недостаточно. </w:t>
      </w:r>
    </w:p>
    <w:p w14:paraId="71D90F82" w14:textId="05BEB413" w:rsidR="005051E5" w:rsidRDefault="005051E5" w:rsidP="00F06A66">
      <w:pPr>
        <w:spacing w:line="360" w:lineRule="auto"/>
        <w:contextualSpacing/>
      </w:pPr>
      <w:r>
        <w:rPr>
          <w:lang w:val="en-US"/>
        </w:rPr>
        <w:t>AQUATIC</w:t>
      </w:r>
      <w:r w:rsidRPr="005051E5">
        <w:t xml:space="preserve"> </w:t>
      </w:r>
      <w:r>
        <w:t xml:space="preserve">– выполненное во Франции многоцентровое двойное слепое плацебо контролируемое исследование, в которое включались пациенты со стабильной ИБС, подвергнутые </w:t>
      </w:r>
      <w:proofErr w:type="spellStart"/>
      <w:r>
        <w:t>стентированию</w:t>
      </w:r>
      <w:proofErr w:type="spellEnd"/>
      <w:r>
        <w:t xml:space="preserve"> более 6 месяцев назад</w:t>
      </w:r>
      <w:r w:rsidR="004A7E63">
        <w:t xml:space="preserve">, </w:t>
      </w:r>
      <w:r>
        <w:t xml:space="preserve">характеризующиеся высоким риском </w:t>
      </w:r>
      <w:proofErr w:type="spellStart"/>
      <w:r>
        <w:t>атеротромботических</w:t>
      </w:r>
      <w:proofErr w:type="spellEnd"/>
      <w:r>
        <w:t xml:space="preserve"> осложнений и уже получающие пероральный антикоагулянт</w:t>
      </w:r>
      <w:r w:rsidR="00872C91">
        <w:t xml:space="preserve"> (89% - ФП, 5% - ВТЭО, 1,1% - протезированный клапан, 5,1% - иные показания)</w:t>
      </w:r>
      <w:r>
        <w:t xml:space="preserve">. </w:t>
      </w:r>
    </w:p>
    <w:p w14:paraId="1422F7DA" w14:textId="57EE17B4" w:rsidR="00452914" w:rsidRPr="00452914" w:rsidRDefault="00452914" w:rsidP="00F06A66">
      <w:pPr>
        <w:pStyle w:val="a6"/>
        <w:spacing w:line="360" w:lineRule="auto"/>
        <w:contextualSpacing/>
      </w:pPr>
      <w:r>
        <w:t>Критериями</w:t>
      </w:r>
      <w:r w:rsidRPr="00452914">
        <w:t xml:space="preserve"> </w:t>
      </w:r>
      <w:r>
        <w:t>высокого</w:t>
      </w:r>
      <w:r w:rsidRPr="00452914">
        <w:t xml:space="preserve"> </w:t>
      </w:r>
      <w:r>
        <w:t>риска</w:t>
      </w:r>
      <w:r w:rsidRPr="00452914">
        <w:t xml:space="preserve"> </w:t>
      </w:r>
      <w:proofErr w:type="spellStart"/>
      <w:r>
        <w:t>атеротромботических</w:t>
      </w:r>
      <w:proofErr w:type="spellEnd"/>
      <w:r w:rsidRPr="00452914">
        <w:t xml:space="preserve"> </w:t>
      </w:r>
      <w:r>
        <w:t>осложнений</w:t>
      </w:r>
      <w:r w:rsidRPr="00452914">
        <w:t xml:space="preserve"> </w:t>
      </w:r>
      <w:r>
        <w:t>были</w:t>
      </w:r>
      <w:r w:rsidRPr="00452914">
        <w:t xml:space="preserve">: </w:t>
      </w:r>
      <w:r>
        <w:t>выполнение</w:t>
      </w:r>
      <w:r w:rsidRPr="00452914">
        <w:t xml:space="preserve"> </w:t>
      </w:r>
      <w:r>
        <w:t>ЧКВ</w:t>
      </w:r>
      <w:r w:rsidRPr="00452914">
        <w:t xml:space="preserve"> </w:t>
      </w:r>
      <w:r>
        <w:t>в</w:t>
      </w:r>
      <w:r w:rsidRPr="00452914">
        <w:t xml:space="preserve"> </w:t>
      </w:r>
      <w:r>
        <w:t>связи</w:t>
      </w:r>
      <w:r w:rsidRPr="00452914">
        <w:t xml:space="preserve"> </w:t>
      </w:r>
      <w:r>
        <w:t>с</w:t>
      </w:r>
      <w:r w:rsidRPr="00452914">
        <w:t xml:space="preserve"> </w:t>
      </w:r>
      <w:r>
        <w:t xml:space="preserve">ОКС либо наличие хотя бы одного из признаков – сахарного диабета, ХБП, периферического атеросклероза, многососудистого поражения коронарных артерий, «комплексное» ЧКВ или тромбоз </w:t>
      </w:r>
      <w:proofErr w:type="spellStart"/>
      <w:r>
        <w:t>стента</w:t>
      </w:r>
      <w:proofErr w:type="spellEnd"/>
      <w:r>
        <w:t xml:space="preserve"> в анамнезе. </w:t>
      </w:r>
    </w:p>
    <w:p w14:paraId="07123093" w14:textId="3E5AE543" w:rsidR="005051E5" w:rsidRPr="00514B58" w:rsidRDefault="005051E5" w:rsidP="00F06A66">
      <w:pPr>
        <w:spacing w:line="360" w:lineRule="auto"/>
        <w:contextualSpacing/>
      </w:pPr>
      <w:r>
        <w:t xml:space="preserve">Пациенты </w:t>
      </w:r>
      <w:proofErr w:type="spellStart"/>
      <w:r>
        <w:t>рандомизировались</w:t>
      </w:r>
      <w:proofErr w:type="spellEnd"/>
      <w:r>
        <w:t xml:space="preserve"> к </w:t>
      </w:r>
      <w:r w:rsidR="00204CDE">
        <w:t>приему 100 мг аспирина или плацебо, продолжая принимать ранее назначенный антикоагулянт</w:t>
      </w:r>
      <w:r w:rsidR="007C1253">
        <w:t xml:space="preserve"> (преимущественно ПОАК, чаще всего </w:t>
      </w:r>
      <w:proofErr w:type="spellStart"/>
      <w:r w:rsidR="007C1253">
        <w:t>апиксабан</w:t>
      </w:r>
      <w:proofErr w:type="spellEnd"/>
      <w:r w:rsidR="007C1253">
        <w:t>)</w:t>
      </w:r>
      <w:r w:rsidR="00204CDE">
        <w:t xml:space="preserve">. Первичная конечная точка по эффективности – сердечно-сосудистая смерть, ИМ, инсульт, системная эмболия, коронарная </w:t>
      </w:r>
      <w:proofErr w:type="spellStart"/>
      <w:r w:rsidR="00204CDE">
        <w:t>реваскуляризация</w:t>
      </w:r>
      <w:proofErr w:type="spellEnd"/>
      <w:r w:rsidR="00204CDE">
        <w:t xml:space="preserve"> и острая ишемия нижней конечности. Первичная</w:t>
      </w:r>
      <w:r w:rsidR="00204CDE" w:rsidRPr="00514B58">
        <w:t xml:space="preserve"> </w:t>
      </w:r>
      <w:r w:rsidR="00204CDE">
        <w:t>конечная</w:t>
      </w:r>
      <w:r w:rsidR="00204CDE" w:rsidRPr="00514B58">
        <w:t xml:space="preserve"> </w:t>
      </w:r>
      <w:r w:rsidR="00204CDE">
        <w:t>точка</w:t>
      </w:r>
      <w:r w:rsidR="00204CDE" w:rsidRPr="00514B58">
        <w:t xml:space="preserve"> </w:t>
      </w:r>
      <w:r w:rsidR="00204CDE">
        <w:t>по</w:t>
      </w:r>
      <w:r w:rsidR="00204CDE" w:rsidRPr="00514B58">
        <w:t xml:space="preserve"> </w:t>
      </w:r>
      <w:r w:rsidR="00204CDE">
        <w:t>безопасности</w:t>
      </w:r>
      <w:r w:rsidR="00204CDE" w:rsidRPr="00514B58">
        <w:t xml:space="preserve"> – </w:t>
      </w:r>
      <w:r w:rsidR="00204CDE">
        <w:t>большие</w:t>
      </w:r>
      <w:r w:rsidR="00204CDE" w:rsidRPr="00514B58">
        <w:t xml:space="preserve"> </w:t>
      </w:r>
      <w:r w:rsidR="00204CDE">
        <w:t>кровотечения</w:t>
      </w:r>
      <w:r w:rsidR="00204CDE" w:rsidRPr="00514B58">
        <w:t>.</w:t>
      </w:r>
    </w:p>
    <w:p w14:paraId="1605DED3" w14:textId="605183BD" w:rsidR="00E972E3" w:rsidRPr="00E972E3" w:rsidRDefault="00E972E3" w:rsidP="006668CD">
      <w:pPr>
        <w:spacing w:line="360" w:lineRule="auto"/>
      </w:pPr>
      <w:r>
        <w:t>Всего</w:t>
      </w:r>
      <w:r w:rsidRPr="00514B58">
        <w:t xml:space="preserve"> </w:t>
      </w:r>
      <w:r>
        <w:t>в</w:t>
      </w:r>
      <w:r w:rsidRPr="00514B58">
        <w:t xml:space="preserve"> </w:t>
      </w:r>
      <w:r>
        <w:t>исследование</w:t>
      </w:r>
      <w:r w:rsidRPr="00514B58">
        <w:t xml:space="preserve"> </w:t>
      </w:r>
      <w:r>
        <w:t>включено</w:t>
      </w:r>
      <w:r w:rsidRPr="00514B58">
        <w:t xml:space="preserve"> </w:t>
      </w:r>
      <w:r w:rsidR="00094F5C" w:rsidRPr="00514B58">
        <w:t xml:space="preserve">872 </w:t>
      </w:r>
      <w:r>
        <w:t>пациента</w:t>
      </w:r>
      <w:r w:rsidRPr="00514B58">
        <w:t xml:space="preserve">. </w:t>
      </w:r>
      <w:r>
        <w:t>Исследование</w:t>
      </w:r>
      <w:r w:rsidRPr="00E972E3">
        <w:t xml:space="preserve"> </w:t>
      </w:r>
      <w:r>
        <w:t>остановлено досрочно по достижении медианы времени наблюдения за пациентами 2,2 года вследствие выявления увеличения смертности в группе аспирина</w:t>
      </w:r>
      <w:r w:rsidR="001F41C0">
        <w:t xml:space="preserve"> (планировалось включить 2 </w:t>
      </w:r>
      <w:proofErr w:type="spellStart"/>
      <w:r w:rsidR="001F41C0">
        <w:t>тыс</w:t>
      </w:r>
      <w:proofErr w:type="spellEnd"/>
      <w:r w:rsidR="001F41C0">
        <w:t xml:space="preserve"> пациентов)</w:t>
      </w:r>
      <w:r>
        <w:t xml:space="preserve">. </w:t>
      </w:r>
    </w:p>
    <w:p w14:paraId="1748122F" w14:textId="148B135A" w:rsidR="00840B93" w:rsidRDefault="00223713" w:rsidP="006668CD">
      <w:pPr>
        <w:spacing w:line="360" w:lineRule="auto"/>
      </w:pPr>
      <w:r>
        <w:t>Первичная</w:t>
      </w:r>
      <w:r w:rsidRPr="00223713">
        <w:t xml:space="preserve"> </w:t>
      </w:r>
      <w:r>
        <w:t>конечная</w:t>
      </w:r>
      <w:r w:rsidRPr="00223713">
        <w:t xml:space="preserve"> </w:t>
      </w:r>
      <w:r>
        <w:t>точка</w:t>
      </w:r>
      <w:r w:rsidRPr="00223713">
        <w:t xml:space="preserve"> </w:t>
      </w:r>
      <w:r>
        <w:t>была</w:t>
      </w:r>
      <w:r w:rsidRPr="00223713">
        <w:t xml:space="preserve"> </w:t>
      </w:r>
      <w:r>
        <w:t>зарегистрирована</w:t>
      </w:r>
      <w:r w:rsidRPr="00223713">
        <w:t xml:space="preserve"> </w:t>
      </w:r>
      <w:r>
        <w:t>у</w:t>
      </w:r>
      <w:r w:rsidR="00094F5C" w:rsidRPr="00094F5C">
        <w:t xml:space="preserve"> 73 </w:t>
      </w:r>
      <w:r>
        <w:t>пациентов</w:t>
      </w:r>
      <w:r w:rsidR="00094F5C" w:rsidRPr="00094F5C">
        <w:t xml:space="preserve"> (16.9%) </w:t>
      </w:r>
      <w:r>
        <w:t>группы</w:t>
      </w:r>
      <w:r w:rsidRPr="00223713">
        <w:t xml:space="preserve"> </w:t>
      </w:r>
      <w:r>
        <w:t>аспирина</w:t>
      </w:r>
      <w:r w:rsidRPr="00223713">
        <w:t xml:space="preserve"> </w:t>
      </w:r>
      <w:r>
        <w:t>и</w:t>
      </w:r>
      <w:r w:rsidRPr="00223713">
        <w:t xml:space="preserve"> </w:t>
      </w:r>
      <w:r w:rsidR="00094F5C" w:rsidRPr="00094F5C">
        <w:t xml:space="preserve">53 </w:t>
      </w:r>
      <w:r>
        <w:t>пациентов</w:t>
      </w:r>
      <w:r w:rsidR="00094F5C" w:rsidRPr="00094F5C">
        <w:t xml:space="preserve"> (12.1%) </w:t>
      </w:r>
      <w:r>
        <w:t>группы плацебо</w:t>
      </w:r>
      <w:r w:rsidR="00094F5C" w:rsidRPr="00094F5C">
        <w:t xml:space="preserve"> (</w:t>
      </w:r>
      <w:r>
        <w:t xml:space="preserve">скорректированное ОШ </w:t>
      </w:r>
      <w:r w:rsidR="00094F5C" w:rsidRPr="00094F5C">
        <w:t xml:space="preserve">1.53; 95% </w:t>
      </w:r>
      <w:r>
        <w:t>ДИ</w:t>
      </w:r>
      <w:r w:rsidR="00094F5C" w:rsidRPr="00094F5C">
        <w:t xml:space="preserve"> 1.07 </w:t>
      </w:r>
      <w:r>
        <w:t>-</w:t>
      </w:r>
      <w:r w:rsidR="00094F5C" w:rsidRPr="00094F5C">
        <w:t xml:space="preserve"> 2.18; </w:t>
      </w:r>
      <w:r w:rsidR="00094F5C" w:rsidRPr="00094F5C">
        <w:rPr>
          <w:lang w:val="en-US"/>
        </w:rPr>
        <w:t>P</w:t>
      </w:r>
      <w:r w:rsidR="00094F5C" w:rsidRPr="00094F5C">
        <w:t xml:space="preserve">=0.02). </w:t>
      </w:r>
      <w:r w:rsidR="00840B93">
        <w:t xml:space="preserve">Преимущества </w:t>
      </w:r>
      <w:proofErr w:type="spellStart"/>
      <w:r w:rsidR="00840B93">
        <w:t>монотерапии</w:t>
      </w:r>
      <w:proofErr w:type="spellEnd"/>
      <w:r w:rsidR="00840B93">
        <w:t xml:space="preserve"> антикоагулянтом были достигнуты преимущественно за счет СС смерти (риск других исходов, в том числе тромбоза </w:t>
      </w:r>
      <w:proofErr w:type="spellStart"/>
      <w:r w:rsidR="00840B93">
        <w:t>стента</w:t>
      </w:r>
      <w:proofErr w:type="spellEnd"/>
      <w:r w:rsidR="00840B93">
        <w:t xml:space="preserve">, </w:t>
      </w:r>
      <w:r w:rsidR="009D1C8F">
        <w:t>достоверно не различался).</w:t>
      </w:r>
    </w:p>
    <w:p w14:paraId="51EA04EA" w14:textId="77777777" w:rsidR="009D1C8F" w:rsidRDefault="00223713" w:rsidP="006668CD">
      <w:pPr>
        <w:spacing w:line="360" w:lineRule="auto"/>
      </w:pPr>
      <w:r>
        <w:t>В</w:t>
      </w:r>
      <w:r w:rsidRPr="00223713">
        <w:t xml:space="preserve"> </w:t>
      </w:r>
      <w:r>
        <w:t>группе</w:t>
      </w:r>
      <w:r w:rsidRPr="00223713">
        <w:t xml:space="preserve"> </w:t>
      </w:r>
      <w:r>
        <w:t>плацебо</w:t>
      </w:r>
      <w:r w:rsidRPr="00223713">
        <w:t xml:space="preserve"> </w:t>
      </w:r>
      <w:r>
        <w:t>от</w:t>
      </w:r>
      <w:r w:rsidRPr="00223713">
        <w:t xml:space="preserve"> </w:t>
      </w:r>
      <w:r>
        <w:t>любых</w:t>
      </w:r>
      <w:r w:rsidRPr="00223713">
        <w:t xml:space="preserve"> </w:t>
      </w:r>
      <w:r>
        <w:t>причин</w:t>
      </w:r>
      <w:r w:rsidRPr="00223713">
        <w:t xml:space="preserve"> </w:t>
      </w:r>
      <w:r>
        <w:t>умерло</w:t>
      </w:r>
      <w:r w:rsidR="00094F5C" w:rsidRPr="00094F5C">
        <w:t xml:space="preserve"> 58 </w:t>
      </w:r>
      <w:r>
        <w:t>пациентов</w:t>
      </w:r>
      <w:r w:rsidR="00094F5C" w:rsidRPr="00094F5C">
        <w:t xml:space="preserve"> (13.4%)</w:t>
      </w:r>
      <w:r>
        <w:t xml:space="preserve">, в группе плацебо - </w:t>
      </w:r>
      <w:r w:rsidR="00094F5C" w:rsidRPr="00094F5C">
        <w:t>37 (8.4%) (</w:t>
      </w:r>
      <w:r>
        <w:t xml:space="preserve">скорректированное ОШ </w:t>
      </w:r>
      <w:r w:rsidR="00094F5C" w:rsidRPr="00094F5C">
        <w:t xml:space="preserve">1.72; 95% </w:t>
      </w:r>
      <w:r>
        <w:t>ДИ</w:t>
      </w:r>
      <w:r w:rsidR="00094F5C" w:rsidRPr="00094F5C">
        <w:t xml:space="preserve"> 1.14 </w:t>
      </w:r>
      <w:r>
        <w:t>-</w:t>
      </w:r>
      <w:r w:rsidR="00094F5C" w:rsidRPr="00094F5C">
        <w:t xml:space="preserve"> 2.58; </w:t>
      </w:r>
      <w:r w:rsidR="00094F5C" w:rsidRPr="00094F5C">
        <w:rPr>
          <w:lang w:val="en-US"/>
        </w:rPr>
        <w:t>P</w:t>
      </w:r>
      <w:r w:rsidR="00094F5C" w:rsidRPr="00094F5C">
        <w:t xml:space="preserve">=0.01). </w:t>
      </w:r>
    </w:p>
    <w:p w14:paraId="2B2D6F0E" w14:textId="77777777" w:rsidR="009D1C8F" w:rsidRDefault="00852AC1" w:rsidP="006668CD">
      <w:pPr>
        <w:spacing w:line="360" w:lineRule="auto"/>
      </w:pPr>
      <w:r>
        <w:t>Большое</w:t>
      </w:r>
      <w:r w:rsidRPr="00852AC1">
        <w:t xml:space="preserve"> </w:t>
      </w:r>
      <w:r>
        <w:t>кровотечение</w:t>
      </w:r>
      <w:r w:rsidRPr="00852AC1">
        <w:t xml:space="preserve"> </w:t>
      </w:r>
      <w:r>
        <w:t>зарегистрировано</w:t>
      </w:r>
      <w:r w:rsidRPr="00852AC1">
        <w:t xml:space="preserve"> </w:t>
      </w:r>
      <w:r>
        <w:t>у</w:t>
      </w:r>
      <w:r w:rsidR="00094F5C" w:rsidRPr="00094F5C">
        <w:t xml:space="preserve"> 44 </w:t>
      </w:r>
      <w:r>
        <w:t>пациентов</w:t>
      </w:r>
      <w:r w:rsidR="00094F5C" w:rsidRPr="00094F5C">
        <w:t xml:space="preserve"> (10.2%) </w:t>
      </w:r>
      <w:r>
        <w:t xml:space="preserve">группы аспирина и </w:t>
      </w:r>
      <w:r w:rsidR="00094F5C" w:rsidRPr="00094F5C">
        <w:t xml:space="preserve">15 </w:t>
      </w:r>
      <w:r>
        <w:t>пациентов</w:t>
      </w:r>
      <w:r w:rsidR="00094F5C" w:rsidRPr="00094F5C">
        <w:t xml:space="preserve"> (3.4%) </w:t>
      </w:r>
      <w:r>
        <w:t>группы плацебо</w:t>
      </w:r>
      <w:r w:rsidR="00094F5C" w:rsidRPr="00094F5C">
        <w:t xml:space="preserve"> (</w:t>
      </w:r>
      <w:r>
        <w:t>скорректированное ОШ</w:t>
      </w:r>
      <w:r w:rsidR="00094F5C" w:rsidRPr="00094F5C">
        <w:t xml:space="preserve"> 3.35; 95% </w:t>
      </w:r>
      <w:r>
        <w:t>ДИ</w:t>
      </w:r>
      <w:r w:rsidR="00094F5C" w:rsidRPr="00094F5C">
        <w:t xml:space="preserve"> 1.87 </w:t>
      </w:r>
      <w:r>
        <w:t xml:space="preserve">- </w:t>
      </w:r>
      <w:r w:rsidR="00094F5C" w:rsidRPr="00094F5C">
        <w:t xml:space="preserve">6.00; </w:t>
      </w:r>
      <w:proofErr w:type="gramStart"/>
      <w:r w:rsidR="00094F5C" w:rsidRPr="00094F5C">
        <w:rPr>
          <w:lang w:val="en-US"/>
        </w:rPr>
        <w:t>P</w:t>
      </w:r>
      <w:r w:rsidR="00094F5C" w:rsidRPr="00094F5C">
        <w:t>&lt;</w:t>
      </w:r>
      <w:proofErr w:type="gramEnd"/>
      <w:r w:rsidR="00094F5C" w:rsidRPr="00094F5C">
        <w:t xml:space="preserve">0.001). </w:t>
      </w:r>
    </w:p>
    <w:p w14:paraId="0F389F61" w14:textId="19CB66A4" w:rsidR="00DF0495" w:rsidRDefault="00852AC1" w:rsidP="006668CD">
      <w:pPr>
        <w:spacing w:line="360" w:lineRule="auto"/>
      </w:pPr>
      <w:r>
        <w:t>Серьезные</w:t>
      </w:r>
      <w:r w:rsidRPr="00852AC1">
        <w:t xml:space="preserve"> </w:t>
      </w:r>
      <w:r>
        <w:t>неблагоприятные</w:t>
      </w:r>
      <w:r w:rsidRPr="00852AC1">
        <w:t xml:space="preserve"> </w:t>
      </w:r>
      <w:r>
        <w:t>события</w:t>
      </w:r>
      <w:r w:rsidRPr="00852AC1">
        <w:t xml:space="preserve"> </w:t>
      </w:r>
      <w:r>
        <w:t>были</w:t>
      </w:r>
      <w:r w:rsidRPr="00852AC1">
        <w:t xml:space="preserve"> </w:t>
      </w:r>
      <w:r>
        <w:t>зафиксированы</w:t>
      </w:r>
      <w:r w:rsidRPr="00852AC1">
        <w:t xml:space="preserve"> </w:t>
      </w:r>
      <w:r>
        <w:t>в</w:t>
      </w:r>
      <w:r w:rsidRPr="00852AC1">
        <w:t xml:space="preserve"> </w:t>
      </w:r>
      <w:r>
        <w:t>количестве</w:t>
      </w:r>
      <w:r w:rsidRPr="00852AC1">
        <w:t xml:space="preserve"> </w:t>
      </w:r>
      <w:r w:rsidR="00094F5C" w:rsidRPr="00094F5C">
        <w:t xml:space="preserve">467 </w:t>
      </w:r>
      <w:r>
        <w:t>и</w:t>
      </w:r>
      <w:r w:rsidRPr="00852AC1">
        <w:t xml:space="preserve"> </w:t>
      </w:r>
      <w:r w:rsidR="00094F5C" w:rsidRPr="00094F5C">
        <w:t xml:space="preserve">395 </w:t>
      </w:r>
      <w:r>
        <w:t>в группах аспирина и плацебо, соот</w:t>
      </w:r>
      <w:r w:rsidR="00DF0495">
        <w:t xml:space="preserve">ветственно. </w:t>
      </w:r>
    </w:p>
    <w:p w14:paraId="182FC2D0" w14:textId="290CC338" w:rsidR="00107A66" w:rsidRDefault="009B6523" w:rsidP="006668CD">
      <w:pPr>
        <w:spacing w:line="360" w:lineRule="auto"/>
      </w:pPr>
      <w:proofErr w:type="spellStart"/>
      <w:r>
        <w:t>Т.о</w:t>
      </w:r>
      <w:proofErr w:type="spellEnd"/>
      <w:r>
        <w:t xml:space="preserve">., исследование показало, что у пациентов через 6 после планового </w:t>
      </w:r>
      <w:proofErr w:type="spellStart"/>
      <w:r>
        <w:t>стентирования</w:t>
      </w:r>
      <w:proofErr w:type="spellEnd"/>
      <w:r>
        <w:t xml:space="preserve"> при наличии сопутствующей ФП добавление аспирина к антикоагулянту ассоциируется с </w:t>
      </w:r>
      <w:r>
        <w:lastRenderedPageBreak/>
        <w:t xml:space="preserve">ухудшением прогноза даже в случае высокого риска </w:t>
      </w:r>
      <w:proofErr w:type="spellStart"/>
      <w:r>
        <w:t>атеротромботических</w:t>
      </w:r>
      <w:proofErr w:type="spellEnd"/>
      <w:r>
        <w:t xml:space="preserve"> осложнений (</w:t>
      </w:r>
      <w:r w:rsidRPr="009B6523">
        <w:rPr>
          <w:i/>
          <w:iCs/>
        </w:rPr>
        <w:t xml:space="preserve">прим. переводчика: </w:t>
      </w:r>
      <w:r w:rsidR="00897443">
        <w:rPr>
          <w:i/>
          <w:iCs/>
        </w:rPr>
        <w:t>и</w:t>
      </w:r>
      <w:r w:rsidR="002B7D46" w:rsidRPr="002B7D46">
        <w:rPr>
          <w:i/>
          <w:iCs/>
        </w:rPr>
        <w:t>сследование имеет определенные ограничения</w:t>
      </w:r>
      <w:r w:rsidR="00897443">
        <w:rPr>
          <w:i/>
          <w:iCs/>
        </w:rPr>
        <w:t xml:space="preserve"> -</w:t>
      </w:r>
      <w:r w:rsidR="002B7D46" w:rsidRPr="002B7D46">
        <w:rPr>
          <w:i/>
          <w:iCs/>
        </w:rPr>
        <w:t xml:space="preserve"> медиана времени от последнего ЧКВ до рандомизации составила 3 года, а доля пациентов, включенных</w:t>
      </w:r>
      <w:r w:rsidR="0046388E">
        <w:rPr>
          <w:i/>
          <w:iCs/>
        </w:rPr>
        <w:t xml:space="preserve"> в исследование</w:t>
      </w:r>
      <w:r w:rsidR="002B7D46" w:rsidRPr="002B7D46">
        <w:rPr>
          <w:i/>
          <w:iCs/>
        </w:rPr>
        <w:t xml:space="preserve"> в период с 6 до 12 месяцев после ЧКВ, составила лишь 27,7%. Поэтому, с точки зрения переводчика, исследование не дает возможности однозначно судить об оптимальной тактике </w:t>
      </w:r>
      <w:proofErr w:type="spellStart"/>
      <w:r w:rsidR="002B7D46" w:rsidRPr="002B7D46">
        <w:rPr>
          <w:i/>
          <w:iCs/>
        </w:rPr>
        <w:t>антитромботической</w:t>
      </w:r>
      <w:proofErr w:type="spellEnd"/>
      <w:r w:rsidR="002B7D46" w:rsidRPr="002B7D46">
        <w:rPr>
          <w:i/>
          <w:iCs/>
        </w:rPr>
        <w:t xml:space="preserve"> терапии в период 6-12 месяцев после ЧК</w:t>
      </w:r>
      <w:r w:rsidR="00897443">
        <w:rPr>
          <w:i/>
          <w:iCs/>
        </w:rPr>
        <w:t>В</w:t>
      </w:r>
      <w:r w:rsidR="002B7D46" w:rsidRPr="002B7D46">
        <w:rPr>
          <w:i/>
          <w:iCs/>
        </w:rPr>
        <w:t xml:space="preserve">. </w:t>
      </w:r>
      <w:r w:rsidR="00107A66">
        <w:rPr>
          <w:i/>
          <w:iCs/>
        </w:rPr>
        <w:t>Напомним, что в</w:t>
      </w:r>
      <w:r w:rsidR="00107A66" w:rsidRPr="009B6523">
        <w:rPr>
          <w:i/>
          <w:iCs/>
        </w:rPr>
        <w:t xml:space="preserve"> действующих клинических рекомендациях опция продления двойной терапии</w:t>
      </w:r>
      <w:r w:rsidR="00107A66">
        <w:rPr>
          <w:i/>
          <w:iCs/>
        </w:rPr>
        <w:t xml:space="preserve"> с 6 до 12 месяцев</w:t>
      </w:r>
      <w:r w:rsidR="00107A66" w:rsidRPr="009B6523">
        <w:rPr>
          <w:i/>
          <w:iCs/>
        </w:rPr>
        <w:t xml:space="preserve"> при высоком риске тромботических осложнений (правда, преимущественно с </w:t>
      </w:r>
      <w:proofErr w:type="spellStart"/>
      <w:r w:rsidR="00107A66" w:rsidRPr="009B6523">
        <w:rPr>
          <w:i/>
          <w:iCs/>
        </w:rPr>
        <w:t>клопидогрелом</w:t>
      </w:r>
      <w:proofErr w:type="spellEnd"/>
      <w:r w:rsidR="00107A66" w:rsidRPr="009B6523">
        <w:rPr>
          <w:i/>
          <w:iCs/>
        </w:rPr>
        <w:t xml:space="preserve"> в составе) рассматривается как приоритетная</w:t>
      </w:r>
      <w:r w:rsidR="00107A66">
        <w:rPr>
          <w:i/>
          <w:iCs/>
        </w:rPr>
        <w:t>)</w:t>
      </w:r>
      <w:r w:rsidR="00107A66">
        <w:t xml:space="preserve">. </w:t>
      </w:r>
    </w:p>
    <w:p w14:paraId="73A26E88" w14:textId="39773A9D" w:rsidR="00DF0495" w:rsidRDefault="00DF0495" w:rsidP="006668CD">
      <w:pPr>
        <w:spacing w:line="360" w:lineRule="auto"/>
      </w:pPr>
    </w:p>
    <w:p w14:paraId="14AAB908" w14:textId="3BB05275" w:rsidR="00DF0495" w:rsidRPr="006668CD" w:rsidRDefault="005E2543" w:rsidP="006668CD">
      <w:pPr>
        <w:spacing w:line="360" w:lineRule="auto"/>
        <w:rPr>
          <w:i/>
          <w:iCs/>
        </w:rPr>
      </w:pPr>
      <w:proofErr w:type="spellStart"/>
      <w:r w:rsidRPr="006668CD">
        <w:rPr>
          <w:i/>
          <w:iCs/>
          <w:lang w:val="en-US"/>
        </w:rPr>
        <w:t>Lemesle</w:t>
      </w:r>
      <w:proofErr w:type="spellEnd"/>
      <w:r w:rsidRPr="006668CD">
        <w:rPr>
          <w:i/>
          <w:iCs/>
          <w:lang w:val="en-US"/>
        </w:rPr>
        <w:t xml:space="preserve"> G, Didier R, Steg PG, et al. </w:t>
      </w:r>
      <w:r w:rsidR="00DF0495" w:rsidRPr="006668CD">
        <w:rPr>
          <w:i/>
          <w:iCs/>
          <w:lang w:val="en-US"/>
        </w:rPr>
        <w:t>Aspirin in Patients with Chronic Coronary Syndrome Receiving Oral Anticoagulation. NEJM</w:t>
      </w:r>
      <w:r w:rsidR="00DF0495" w:rsidRPr="006668CD">
        <w:rPr>
          <w:i/>
          <w:iCs/>
        </w:rPr>
        <w:t xml:space="preserve"> 2025, </w:t>
      </w:r>
      <w:r w:rsidR="00DF0495" w:rsidRPr="006668CD">
        <w:rPr>
          <w:i/>
          <w:iCs/>
          <w:lang w:val="en-US"/>
        </w:rPr>
        <w:t>DOI</w:t>
      </w:r>
      <w:r w:rsidR="00DF0495" w:rsidRPr="006668CD">
        <w:rPr>
          <w:i/>
          <w:iCs/>
        </w:rPr>
        <w:t>: 10.1056/</w:t>
      </w:r>
      <w:proofErr w:type="spellStart"/>
      <w:r w:rsidR="00DF0495" w:rsidRPr="006668CD">
        <w:rPr>
          <w:i/>
          <w:iCs/>
          <w:lang w:val="en-US"/>
        </w:rPr>
        <w:t>NEJMoa</w:t>
      </w:r>
      <w:proofErr w:type="spellEnd"/>
      <w:r w:rsidR="00DF0495" w:rsidRPr="006668CD">
        <w:rPr>
          <w:i/>
          <w:iCs/>
        </w:rPr>
        <w:t>2507532.</w:t>
      </w:r>
    </w:p>
    <w:p w14:paraId="44345E0B" w14:textId="613DE47D" w:rsidR="00DF0495" w:rsidRPr="005B30DB" w:rsidRDefault="00B553F7" w:rsidP="006668CD">
      <w:pPr>
        <w:spacing w:line="360" w:lineRule="auto"/>
        <w:rPr>
          <w:i/>
          <w:iCs/>
        </w:rPr>
      </w:pPr>
      <w:hyperlink r:id="rId5" w:history="1">
        <w:r w:rsidR="00DF0495" w:rsidRPr="006668CD">
          <w:rPr>
            <w:rStyle w:val="a4"/>
            <w:i/>
            <w:iCs/>
            <w:lang w:val="en-US"/>
          </w:rPr>
          <w:t>https</w:t>
        </w:r>
        <w:r w:rsidR="00DF0495" w:rsidRPr="006668CD">
          <w:rPr>
            <w:rStyle w:val="a4"/>
            <w:i/>
            <w:iCs/>
          </w:rPr>
          <w:t>://</w:t>
        </w:r>
        <w:r w:rsidR="00DF0495" w:rsidRPr="006668CD">
          <w:rPr>
            <w:rStyle w:val="a4"/>
            <w:i/>
            <w:iCs/>
            <w:lang w:val="en-US"/>
          </w:rPr>
          <w:t>www</w:t>
        </w:r>
        <w:r w:rsidR="00DF0495" w:rsidRPr="006668CD">
          <w:rPr>
            <w:rStyle w:val="a4"/>
            <w:i/>
            <w:iCs/>
          </w:rPr>
          <w:t>.</w:t>
        </w:r>
        <w:proofErr w:type="spellStart"/>
        <w:r w:rsidR="00DF0495" w:rsidRPr="006668CD">
          <w:rPr>
            <w:rStyle w:val="a4"/>
            <w:i/>
            <w:iCs/>
            <w:lang w:val="en-US"/>
          </w:rPr>
          <w:t>nejm</w:t>
        </w:r>
        <w:proofErr w:type="spellEnd"/>
        <w:r w:rsidR="00DF0495" w:rsidRPr="006668CD">
          <w:rPr>
            <w:rStyle w:val="a4"/>
            <w:i/>
            <w:iCs/>
          </w:rPr>
          <w:t>.</w:t>
        </w:r>
        <w:r w:rsidR="00DF0495" w:rsidRPr="006668CD">
          <w:rPr>
            <w:rStyle w:val="a4"/>
            <w:i/>
            <w:iCs/>
            <w:lang w:val="en-US"/>
          </w:rPr>
          <w:t>org</w:t>
        </w:r>
        <w:r w:rsidR="00DF0495" w:rsidRPr="006668CD">
          <w:rPr>
            <w:rStyle w:val="a4"/>
            <w:i/>
            <w:iCs/>
          </w:rPr>
          <w:t>/</w:t>
        </w:r>
        <w:proofErr w:type="spellStart"/>
        <w:r w:rsidR="00DF0495" w:rsidRPr="006668CD">
          <w:rPr>
            <w:rStyle w:val="a4"/>
            <w:i/>
            <w:iCs/>
            <w:lang w:val="en-US"/>
          </w:rPr>
          <w:t>doi</w:t>
        </w:r>
        <w:proofErr w:type="spellEnd"/>
        <w:r w:rsidR="00DF0495" w:rsidRPr="006668CD">
          <w:rPr>
            <w:rStyle w:val="a4"/>
            <w:i/>
            <w:iCs/>
          </w:rPr>
          <w:t>/</w:t>
        </w:r>
        <w:r w:rsidR="00DF0495" w:rsidRPr="006668CD">
          <w:rPr>
            <w:rStyle w:val="a4"/>
            <w:i/>
            <w:iCs/>
            <w:lang w:val="en-US"/>
          </w:rPr>
          <w:t>abs</w:t>
        </w:r>
        <w:r w:rsidR="00DF0495" w:rsidRPr="006668CD">
          <w:rPr>
            <w:rStyle w:val="a4"/>
            <w:i/>
            <w:iCs/>
          </w:rPr>
          <w:t>/10.1056/</w:t>
        </w:r>
        <w:proofErr w:type="spellStart"/>
        <w:r w:rsidR="00DF0495" w:rsidRPr="006668CD">
          <w:rPr>
            <w:rStyle w:val="a4"/>
            <w:i/>
            <w:iCs/>
            <w:lang w:val="en-US"/>
          </w:rPr>
          <w:t>NEJMoa</w:t>
        </w:r>
        <w:proofErr w:type="spellEnd"/>
        <w:r w:rsidR="00DF0495" w:rsidRPr="006668CD">
          <w:rPr>
            <w:rStyle w:val="a4"/>
            <w:i/>
            <w:iCs/>
          </w:rPr>
          <w:t>2507532</w:t>
        </w:r>
      </w:hyperlink>
    </w:p>
    <w:p w14:paraId="0D7351F1" w14:textId="77777777" w:rsidR="005B30DB" w:rsidRDefault="00514B58" w:rsidP="005B30DB">
      <w:pPr>
        <w:pStyle w:val="1"/>
        <w:shd w:val="clear" w:color="auto" w:fill="FFFFFF"/>
        <w:spacing w:line="360" w:lineRule="auto"/>
      </w:pPr>
      <w:r w:rsidRPr="00514B58">
        <w:t xml:space="preserve"> </w:t>
      </w:r>
    </w:p>
    <w:p w14:paraId="6C64707B" w14:textId="027CEBEB" w:rsidR="00DD6CC6" w:rsidRPr="005B30DB" w:rsidRDefault="00DD6CC6" w:rsidP="005B30DB">
      <w:pPr>
        <w:pStyle w:val="1"/>
        <w:shd w:val="clear" w:color="auto" w:fill="FFFFFF"/>
        <w:spacing w:line="360" w:lineRule="auto"/>
        <w:ind w:firstLine="708"/>
      </w:pPr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SMART-CHOICE 3</w:t>
      </w:r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proofErr w:type="spellStart"/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монотерапия</w:t>
      </w:r>
      <w:proofErr w:type="spellEnd"/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клопидогрелом</w:t>
      </w:r>
      <w:proofErr w:type="spellEnd"/>
      <w:r w:rsidRPr="00DD6C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или аспирином у пациентов со стабильной ИБС и ЧКВ в анамнезе</w:t>
      </w:r>
    </w:p>
    <w:p w14:paraId="4E9D8031" w14:textId="0D709CD4" w:rsidR="005B30DB" w:rsidRDefault="005B30DB" w:rsidP="005B30DB">
      <w:pPr>
        <w:spacing w:line="360" w:lineRule="auto"/>
        <w:ind w:firstLine="708"/>
      </w:pPr>
      <w:r>
        <w:t xml:space="preserve">Оптимальная стратегия долгосрочной </w:t>
      </w:r>
      <w:proofErr w:type="spellStart"/>
      <w:r>
        <w:t>антиагрегантной</w:t>
      </w:r>
      <w:proofErr w:type="spellEnd"/>
      <w:r>
        <w:t xml:space="preserve"> терапии у пациентов, перенесших </w:t>
      </w:r>
      <w:proofErr w:type="spellStart"/>
      <w:r>
        <w:t>чрескожное</w:t>
      </w:r>
      <w:proofErr w:type="spellEnd"/>
      <w:r>
        <w:t xml:space="preserve"> коронарное вмешательство (ЧКВ), остается </w:t>
      </w:r>
      <w:r>
        <w:t>предметом дискуссий.</w:t>
      </w:r>
      <w:r>
        <w:t xml:space="preserve"> Целью данного исследования было сравнение эффективности и безопасности </w:t>
      </w:r>
      <w:proofErr w:type="spellStart"/>
      <w:r>
        <w:t>монотерапии</w:t>
      </w:r>
      <w:proofErr w:type="spellEnd"/>
      <w:r>
        <w:t xml:space="preserve"> </w:t>
      </w:r>
      <w:proofErr w:type="spellStart"/>
      <w:r>
        <w:t>клопидогрел</w:t>
      </w:r>
      <w:r>
        <w:t>ом</w:t>
      </w:r>
      <w:proofErr w:type="spellEnd"/>
      <w:r>
        <w:t xml:space="preserve"> </w:t>
      </w:r>
      <w:r>
        <w:t xml:space="preserve">и аспирином у пациентов, завершивших стандартную двойную </w:t>
      </w:r>
      <w:proofErr w:type="spellStart"/>
      <w:r>
        <w:t>антиагрегантную</w:t>
      </w:r>
      <w:proofErr w:type="spellEnd"/>
      <w:r>
        <w:t xml:space="preserve"> терапию (ДААТ) после ЧКВ с использованием </w:t>
      </w:r>
      <w:proofErr w:type="spellStart"/>
      <w:r>
        <w:t>стентов</w:t>
      </w:r>
      <w:proofErr w:type="spellEnd"/>
      <w:r>
        <w:t xml:space="preserve"> с лекарственным покрытием.</w:t>
      </w:r>
    </w:p>
    <w:p w14:paraId="24AA5BD3" w14:textId="11195AAB" w:rsidR="005B30DB" w:rsidRDefault="005B30DB" w:rsidP="008C0BEA">
      <w:pPr>
        <w:spacing w:line="360" w:lineRule="auto"/>
      </w:pPr>
      <w:r>
        <w:t xml:space="preserve">Исследование </w:t>
      </w:r>
      <w:r>
        <w:t>многоцентрово</w:t>
      </w:r>
      <w:r>
        <w:t>е</w:t>
      </w:r>
      <w:r>
        <w:t xml:space="preserve"> </w:t>
      </w:r>
      <w:proofErr w:type="spellStart"/>
      <w:r>
        <w:t>рандомизированно</w:t>
      </w:r>
      <w:r>
        <w:t>е</w:t>
      </w:r>
      <w:proofErr w:type="spellEnd"/>
      <w:r>
        <w:t xml:space="preserve"> открыто</w:t>
      </w:r>
      <w:r>
        <w:t>е, проведено в Южной Корее. Включались</w:t>
      </w:r>
      <w:r>
        <w:t xml:space="preserve"> пациенты в возрасте 19 лет и старше с высоким риском рецидива ишемических событий (перенесенный инфаркт миокарда в любое время до включения в исследование, медикаментозно леченный диабет или сложные поражения коронарных артерий), завершившие стандартную ДААТ после ЧКВ</w:t>
      </w:r>
      <w:r>
        <w:t xml:space="preserve">. Пациенты </w:t>
      </w:r>
      <w:r>
        <w:t xml:space="preserve">были </w:t>
      </w:r>
      <w:proofErr w:type="spellStart"/>
      <w:r>
        <w:t>рандомизированы</w:t>
      </w:r>
      <w:proofErr w:type="spellEnd"/>
      <w:r>
        <w:t xml:space="preserve"> в группы, получающие </w:t>
      </w:r>
      <w:proofErr w:type="spellStart"/>
      <w:r>
        <w:t>клопидогрел</w:t>
      </w:r>
      <w:proofErr w:type="spellEnd"/>
      <w:r>
        <w:t xml:space="preserve"> 75 мг один раз в день или аспирин 100 мг один раз в день перорально. </w:t>
      </w:r>
      <w:r w:rsidR="008C0BEA">
        <w:t>Комбинированная п</w:t>
      </w:r>
      <w:r>
        <w:t>ервичн</w:t>
      </w:r>
      <w:r w:rsidR="008C0BEA">
        <w:t>ая</w:t>
      </w:r>
      <w:r>
        <w:t xml:space="preserve"> конечн</w:t>
      </w:r>
      <w:r w:rsidR="008C0BEA">
        <w:t>ая</w:t>
      </w:r>
      <w:r>
        <w:t xml:space="preserve"> точк</w:t>
      </w:r>
      <w:r w:rsidR="008C0BEA">
        <w:t>а -</w:t>
      </w:r>
      <w:r>
        <w:t xml:space="preserve"> </w:t>
      </w:r>
      <w:r w:rsidR="008C0BEA">
        <w:t>комбинация</w:t>
      </w:r>
      <w:r>
        <w:t xml:space="preserve"> смертности от любой причины, инфаркта миокарда или инсульта, оцениваемая в популяции пациентов, которым было назначено лечение. Нежелательные явления учитывались как часть вторичных конечных точек. </w:t>
      </w:r>
    </w:p>
    <w:p w14:paraId="369182D9" w14:textId="4256486E" w:rsidR="005B30DB" w:rsidRDefault="008C0BEA" w:rsidP="005B30DB">
      <w:pPr>
        <w:spacing w:line="360" w:lineRule="auto"/>
      </w:pPr>
      <w:proofErr w:type="spellStart"/>
      <w:r>
        <w:lastRenderedPageBreak/>
        <w:t>Рандомизировано</w:t>
      </w:r>
      <w:proofErr w:type="spellEnd"/>
      <w:r>
        <w:t xml:space="preserve"> было</w:t>
      </w:r>
      <w:r w:rsidR="005B30DB">
        <w:t xml:space="preserve"> 5506 </w:t>
      </w:r>
      <w:r>
        <w:t>пациентов</w:t>
      </w:r>
      <w:r w:rsidR="005B30DB">
        <w:t xml:space="preserve"> (2752 в группу </w:t>
      </w:r>
      <w:proofErr w:type="spellStart"/>
      <w:r w:rsidR="005B30DB">
        <w:t>монотерапии</w:t>
      </w:r>
      <w:proofErr w:type="spellEnd"/>
      <w:r w:rsidR="005B30DB">
        <w:t xml:space="preserve"> </w:t>
      </w:r>
      <w:proofErr w:type="spellStart"/>
      <w:r w:rsidR="005B30DB">
        <w:t>клопидогрелом</w:t>
      </w:r>
      <w:proofErr w:type="spellEnd"/>
      <w:r w:rsidR="005B30DB">
        <w:t xml:space="preserve"> и 2754 в группу </w:t>
      </w:r>
      <w:proofErr w:type="spellStart"/>
      <w:r w:rsidR="005B30DB">
        <w:t>монотерапии</w:t>
      </w:r>
      <w:proofErr w:type="spellEnd"/>
      <w:r w:rsidR="005B30DB">
        <w:t xml:space="preserve"> аспирином). Медиана времени между ЧКВ и рандомизацией составила 17,5 месяцев (</w:t>
      </w:r>
      <w:proofErr w:type="spellStart"/>
      <w:r w:rsidR="005B30DB">
        <w:t>межквартильный</w:t>
      </w:r>
      <w:proofErr w:type="spellEnd"/>
      <w:r w:rsidR="005B30DB">
        <w:t xml:space="preserve"> размах 12,6–36,1 месяца). В течение медианного периода наблюдения 2,3 года (</w:t>
      </w:r>
      <w:proofErr w:type="spellStart"/>
      <w:r w:rsidR="005B30DB">
        <w:t>межквартильный</w:t>
      </w:r>
      <w:proofErr w:type="spellEnd"/>
      <w:r w:rsidR="005B30DB">
        <w:t xml:space="preserve"> размах 1,6–3,0) первичная конечная точка наступила у 92 пациентов в группе </w:t>
      </w:r>
      <w:proofErr w:type="spellStart"/>
      <w:r w:rsidR="005B30DB">
        <w:t>клопидогрел</w:t>
      </w:r>
      <w:r>
        <w:t>а</w:t>
      </w:r>
      <w:proofErr w:type="spellEnd"/>
      <w:r w:rsidR="005B30DB">
        <w:t xml:space="preserve"> и у 128 пациентов в группе аспирина (оцененная по Каплану–Майеру 3-летняя </w:t>
      </w:r>
      <w:r>
        <w:t>частота конечной точки</w:t>
      </w:r>
      <w:r w:rsidR="005B30DB">
        <w:t xml:space="preserve"> 4,4% [95% ДИ 3,4–5,4] по сравнению с 6,6% [5,4–7,8]; отношение рисков 0,71 [95% ДИ 0,54–0,93]; p = 0,013). Смерть по любой причине наступила у 50 пациентов в группе </w:t>
      </w:r>
      <w:proofErr w:type="spellStart"/>
      <w:r w:rsidR="005B30DB">
        <w:t>клопидогрел</w:t>
      </w:r>
      <w:r>
        <w:t>а</w:t>
      </w:r>
      <w:proofErr w:type="spellEnd"/>
      <w:r>
        <w:t xml:space="preserve"> </w:t>
      </w:r>
      <w:r w:rsidR="005B30DB">
        <w:t xml:space="preserve">и 70 в группе аспирина (2,4% [1,6–3,1] по сравнению с 4,0% [2,9–5,0] через 3 года; 0,71 [0,49–1,02]); инфаркт миокарда у 23 пациентов в группе </w:t>
      </w:r>
      <w:proofErr w:type="spellStart"/>
      <w:r w:rsidR="005B30DB">
        <w:t>клопидогрел</w:t>
      </w:r>
      <w:r>
        <w:t>а</w:t>
      </w:r>
      <w:proofErr w:type="spellEnd"/>
      <w:r w:rsidR="005B30DB">
        <w:t xml:space="preserve"> и 42 в группе аспирина (1,0% [0,6–1,4] против 2,2% [1,4–2,9] через 3 года; 0,54 [0,33–0,90]); и инсульт у 23 в группе </w:t>
      </w:r>
      <w:proofErr w:type="spellStart"/>
      <w:r w:rsidR="005B30DB">
        <w:t>клопидогрел</w:t>
      </w:r>
      <w:r>
        <w:t>а</w:t>
      </w:r>
      <w:proofErr w:type="spellEnd"/>
      <w:r>
        <w:t xml:space="preserve"> </w:t>
      </w:r>
      <w:r w:rsidR="005B30DB">
        <w:t xml:space="preserve">и 29 в группе аспирина (1,3% [0,7–2,0] против 1,3% [0,8–1,7] через 3 года; 0,79 [0,46–1,36]). Различий в риске кровотечения между группами </w:t>
      </w:r>
      <w:proofErr w:type="spellStart"/>
      <w:r w:rsidR="005B30DB">
        <w:t>клопидогрела</w:t>
      </w:r>
      <w:proofErr w:type="spellEnd"/>
      <w:r w:rsidR="005B30DB">
        <w:t xml:space="preserve"> и аспирина не наблюдалось (3,0% [2,0–3,9] против 3,0% [2,2–3,9] через 3 года; 0,97 [0,67–1,42]). </w:t>
      </w:r>
      <w:proofErr w:type="spellStart"/>
      <w:r w:rsidR="005B30DB">
        <w:t>Клопидогрел</w:t>
      </w:r>
      <w:proofErr w:type="spellEnd"/>
      <w:r w:rsidR="005B30DB">
        <w:t xml:space="preserve"> не ассоциировался с более высокой частотой каких-либо нежелательных явлений по сравнению с аспирином.</w:t>
      </w:r>
    </w:p>
    <w:p w14:paraId="4C88F265" w14:textId="30A98F4B" w:rsidR="005B30DB" w:rsidRPr="005B30DB" w:rsidRDefault="008C0BEA" w:rsidP="005B30DB">
      <w:pPr>
        <w:spacing w:line="360" w:lineRule="auto"/>
      </w:pPr>
      <w:proofErr w:type="spellStart"/>
      <w:r>
        <w:t>Т.о</w:t>
      </w:r>
      <w:proofErr w:type="spellEnd"/>
      <w:r>
        <w:t xml:space="preserve">., у </w:t>
      </w:r>
      <w:r w:rsidR="005B30DB">
        <w:t xml:space="preserve">пациентов с высоким риском рецидивирующих ишемических событий, </w:t>
      </w:r>
      <w:r>
        <w:t>у которых завершился период обязательной</w:t>
      </w:r>
      <w:r w:rsidR="005B30DB">
        <w:t xml:space="preserve"> двойной </w:t>
      </w:r>
      <w:proofErr w:type="spellStart"/>
      <w:r w:rsidR="005B30DB">
        <w:t>антитромбоцитарной</w:t>
      </w:r>
      <w:proofErr w:type="spellEnd"/>
      <w:r w:rsidR="005B30DB">
        <w:t xml:space="preserve"> терапии после ЧКВ, </w:t>
      </w:r>
      <w:proofErr w:type="spellStart"/>
      <w:r w:rsidR="005B30DB">
        <w:t>монотерапия</w:t>
      </w:r>
      <w:proofErr w:type="spellEnd"/>
      <w:r w:rsidR="005B30DB">
        <w:t xml:space="preserve"> </w:t>
      </w:r>
      <w:proofErr w:type="spellStart"/>
      <w:r w:rsidR="005B30DB">
        <w:t>клопидогрел</w:t>
      </w:r>
      <w:r>
        <w:t>о</w:t>
      </w:r>
      <w:r w:rsidR="005B30DB">
        <w:t>м</w:t>
      </w:r>
      <w:proofErr w:type="spellEnd"/>
      <w:r w:rsidR="005B30DB">
        <w:t xml:space="preserve"> по сравнению с </w:t>
      </w:r>
      <w:proofErr w:type="spellStart"/>
      <w:r w:rsidR="005B30DB">
        <w:t>монотерапией</w:t>
      </w:r>
      <w:proofErr w:type="spellEnd"/>
      <w:r w:rsidR="005B30DB">
        <w:t xml:space="preserve"> аспирином значительно снизила кумулятивную частоту сочетания смерти от любой причины, инфаркта миокарда и инсульта без очевидного увеличения риска кровотечения.</w:t>
      </w:r>
    </w:p>
    <w:p w14:paraId="617A77D9" w14:textId="2693BBFB" w:rsidR="00267875" w:rsidRPr="00267875" w:rsidRDefault="00267875" w:rsidP="00267875">
      <w:pPr>
        <w:rPr>
          <w:i/>
          <w:iCs/>
          <w:color w:val="212121"/>
          <w:shd w:val="clear" w:color="auto" w:fill="FFFFFF"/>
        </w:rPr>
      </w:pPr>
      <w:r w:rsidRPr="00267875">
        <w:rPr>
          <w:i/>
          <w:iCs/>
          <w:color w:val="212121"/>
          <w:shd w:val="clear" w:color="auto" w:fill="FFFFFF"/>
          <w:lang w:val="en-US"/>
        </w:rPr>
        <w:t xml:space="preserve">Choi KH, Park YH, Lee JY, </w:t>
      </w:r>
      <w:r w:rsidRPr="00267875">
        <w:rPr>
          <w:i/>
          <w:iCs/>
          <w:color w:val="212121"/>
          <w:shd w:val="clear" w:color="auto" w:fill="FFFFFF"/>
          <w:lang w:val="en-US"/>
        </w:rPr>
        <w:t>et al</w:t>
      </w:r>
      <w:r w:rsidRPr="00267875">
        <w:rPr>
          <w:i/>
          <w:iCs/>
          <w:color w:val="212121"/>
          <w:shd w:val="clear" w:color="auto" w:fill="FFFFFF"/>
          <w:lang w:val="en-US"/>
        </w:rPr>
        <w:t xml:space="preserve">. Efficacy and safety of clopidogrel versus aspirin monotherapy in patients at high risk of subsequent cardiovascular event after percutaneous coronary intervention (SMART-CHOICE 3): a </w:t>
      </w:r>
      <w:proofErr w:type="spellStart"/>
      <w:r w:rsidRPr="00267875">
        <w:rPr>
          <w:i/>
          <w:iCs/>
          <w:color w:val="212121"/>
          <w:shd w:val="clear" w:color="auto" w:fill="FFFFFF"/>
          <w:lang w:val="en-US"/>
        </w:rPr>
        <w:t>randomised</w:t>
      </w:r>
      <w:proofErr w:type="spellEnd"/>
      <w:r w:rsidRPr="00267875">
        <w:rPr>
          <w:i/>
          <w:iCs/>
          <w:color w:val="212121"/>
          <w:shd w:val="clear" w:color="auto" w:fill="FFFFFF"/>
          <w:lang w:val="en-US"/>
        </w:rPr>
        <w:t xml:space="preserve">, open-label, </w:t>
      </w:r>
      <w:proofErr w:type="spellStart"/>
      <w:r w:rsidRPr="00267875">
        <w:rPr>
          <w:i/>
          <w:iCs/>
          <w:color w:val="212121"/>
          <w:shd w:val="clear" w:color="auto" w:fill="FFFFFF"/>
          <w:lang w:val="en-US"/>
        </w:rPr>
        <w:t>multicentre</w:t>
      </w:r>
      <w:proofErr w:type="spellEnd"/>
      <w:r w:rsidRPr="00267875">
        <w:rPr>
          <w:i/>
          <w:iCs/>
          <w:color w:val="212121"/>
          <w:shd w:val="clear" w:color="auto" w:fill="FFFFFF"/>
          <w:lang w:val="en-US"/>
        </w:rPr>
        <w:t xml:space="preserve"> trial. </w:t>
      </w:r>
      <w:proofErr w:type="spellStart"/>
      <w:r w:rsidRPr="00267875">
        <w:rPr>
          <w:i/>
          <w:iCs/>
          <w:color w:val="212121"/>
          <w:shd w:val="clear" w:color="auto" w:fill="FFFFFF"/>
        </w:rPr>
        <w:t>Lancet</w:t>
      </w:r>
      <w:proofErr w:type="spellEnd"/>
      <w:r w:rsidRPr="00267875">
        <w:rPr>
          <w:i/>
          <w:iCs/>
          <w:color w:val="212121"/>
          <w:shd w:val="clear" w:color="auto" w:fill="FFFFFF"/>
        </w:rPr>
        <w:t xml:space="preserve">. 2025 </w:t>
      </w:r>
      <w:proofErr w:type="spellStart"/>
      <w:r w:rsidRPr="00267875">
        <w:rPr>
          <w:i/>
          <w:iCs/>
          <w:color w:val="212121"/>
          <w:shd w:val="clear" w:color="auto" w:fill="FFFFFF"/>
        </w:rPr>
        <w:t>Apr</w:t>
      </w:r>
      <w:proofErr w:type="spellEnd"/>
      <w:r w:rsidRPr="00267875">
        <w:rPr>
          <w:i/>
          <w:iCs/>
          <w:color w:val="212121"/>
          <w:shd w:val="clear" w:color="auto" w:fill="FFFFFF"/>
        </w:rPr>
        <w:t xml:space="preserve"> 12;405(10486):1252-1263. </w:t>
      </w:r>
      <w:proofErr w:type="spellStart"/>
      <w:r w:rsidRPr="00267875">
        <w:rPr>
          <w:i/>
          <w:iCs/>
          <w:color w:val="212121"/>
          <w:shd w:val="clear" w:color="auto" w:fill="FFFFFF"/>
        </w:rPr>
        <w:t>doi</w:t>
      </w:r>
      <w:proofErr w:type="spellEnd"/>
      <w:r w:rsidRPr="00267875">
        <w:rPr>
          <w:i/>
          <w:iCs/>
          <w:color w:val="212121"/>
          <w:shd w:val="clear" w:color="auto" w:fill="FFFFFF"/>
        </w:rPr>
        <w:t xml:space="preserve">: 10.1016/S0140-6736(25)00449-0. </w:t>
      </w:r>
    </w:p>
    <w:p w14:paraId="1E9BCF8C" w14:textId="1B3F19DD" w:rsidR="00DD6CC6" w:rsidRPr="00267875" w:rsidRDefault="00267875" w:rsidP="00267875">
      <w:pPr>
        <w:rPr>
          <w:i/>
          <w:iCs/>
        </w:rPr>
      </w:pPr>
      <w:r w:rsidRPr="00267875">
        <w:rPr>
          <w:i/>
          <w:iCs/>
        </w:rPr>
        <w:t>https://www.thelancet.com/journals/lancet/article/PIIS0140-6736(25)00449-0/abstract</w:t>
      </w:r>
    </w:p>
    <w:p w14:paraId="7BAADFDD" w14:textId="77777777" w:rsidR="00DD6CC6" w:rsidRDefault="00DD6CC6" w:rsidP="006668CD">
      <w:pPr>
        <w:spacing w:line="360" w:lineRule="auto"/>
      </w:pPr>
    </w:p>
    <w:p w14:paraId="7AA53E5F" w14:textId="5A75FE55" w:rsidR="00514B58" w:rsidRPr="006668CD" w:rsidRDefault="00514B58" w:rsidP="006668CD">
      <w:pPr>
        <w:spacing w:line="360" w:lineRule="auto"/>
        <w:rPr>
          <w:b/>
          <w:bCs/>
        </w:rPr>
      </w:pPr>
      <w:r w:rsidRPr="00514B58">
        <w:rPr>
          <w:b/>
          <w:bCs/>
          <w:lang w:val="en-US"/>
        </w:rPr>
        <w:t>TACSI</w:t>
      </w:r>
      <w:r w:rsidRPr="00514B58">
        <w:rPr>
          <w:b/>
          <w:bCs/>
        </w:rPr>
        <w:t xml:space="preserve">: </w:t>
      </w:r>
      <w:proofErr w:type="spellStart"/>
      <w:r w:rsidRPr="00514B58">
        <w:rPr>
          <w:b/>
          <w:bCs/>
        </w:rPr>
        <w:t>тикагрелор</w:t>
      </w:r>
      <w:proofErr w:type="spellEnd"/>
      <w:r w:rsidRPr="00514B58">
        <w:rPr>
          <w:b/>
          <w:bCs/>
        </w:rPr>
        <w:t xml:space="preserve"> и аспирин или </w:t>
      </w:r>
      <w:proofErr w:type="spellStart"/>
      <w:r w:rsidRPr="00514B58">
        <w:rPr>
          <w:b/>
          <w:bCs/>
        </w:rPr>
        <w:t>монотерапия</w:t>
      </w:r>
      <w:proofErr w:type="spellEnd"/>
      <w:r w:rsidRPr="00514B58">
        <w:rPr>
          <w:b/>
          <w:bCs/>
        </w:rPr>
        <w:t xml:space="preserve"> </w:t>
      </w:r>
      <w:r>
        <w:rPr>
          <w:b/>
          <w:bCs/>
        </w:rPr>
        <w:t>аспирином</w:t>
      </w:r>
      <w:r w:rsidRPr="00514B58">
        <w:rPr>
          <w:b/>
          <w:bCs/>
        </w:rPr>
        <w:t xml:space="preserve"> после коронарного шунтирования у пациентов с ОКС</w:t>
      </w:r>
    </w:p>
    <w:p w14:paraId="1DF39A53" w14:textId="40B4852B" w:rsidR="000850ED" w:rsidRDefault="000850ED" w:rsidP="006668CD">
      <w:pPr>
        <w:spacing w:line="360" w:lineRule="auto"/>
      </w:pPr>
      <w:r>
        <w:t xml:space="preserve">Оптимальная медикаментозная терапия после КШ у пациентов с ОКС в настоящее время регламентируется преимущественно мнением экспертов, доказательная база минимальна. Согласно Европейским рекомендациям по ОКС 2023, таким пациентам назначают двойную </w:t>
      </w:r>
      <w:proofErr w:type="spellStart"/>
      <w:r>
        <w:t>антитромбоцитарную</w:t>
      </w:r>
      <w:proofErr w:type="spellEnd"/>
      <w:r>
        <w:t xml:space="preserve"> терапию на год. </w:t>
      </w:r>
    </w:p>
    <w:p w14:paraId="6ADB237C" w14:textId="1E17910C" w:rsidR="00514B58" w:rsidRDefault="00514B58" w:rsidP="006668CD">
      <w:pPr>
        <w:spacing w:line="360" w:lineRule="auto"/>
      </w:pPr>
      <w:r>
        <w:t xml:space="preserve">Исследование </w:t>
      </w:r>
      <w:r w:rsidR="000850ED">
        <w:rPr>
          <w:lang w:val="en-US"/>
        </w:rPr>
        <w:t>TACSI</w:t>
      </w:r>
      <w:r w:rsidR="000850ED" w:rsidRPr="000850ED">
        <w:t xml:space="preserve"> </w:t>
      </w:r>
      <w:r>
        <w:t xml:space="preserve">открытое, основано на данных регистра, проведено в 22 скандинавских центрах </w:t>
      </w:r>
      <w:proofErr w:type="spellStart"/>
      <w:r>
        <w:t>кардиоторакальной</w:t>
      </w:r>
      <w:proofErr w:type="spellEnd"/>
      <w:r>
        <w:t xml:space="preserve"> хирургии. Пациенты были распределены случайным образом в соотношении 1:1 в группы получения </w:t>
      </w:r>
      <w:proofErr w:type="spellStart"/>
      <w:r>
        <w:t>тикагрелора</w:t>
      </w:r>
      <w:proofErr w:type="spellEnd"/>
      <w:r>
        <w:t xml:space="preserve"> в сочетании с аспирином или только аспирина в течение 1 года после аортокоронарного шунтирования </w:t>
      </w:r>
      <w:r>
        <w:lastRenderedPageBreak/>
        <w:t xml:space="preserve">(АКШ) по поводу острого коронарного синдрома. Первичной конечной точкой была совокупность смерти, инфаркта миокарда, инсульта или повторной </w:t>
      </w:r>
      <w:proofErr w:type="spellStart"/>
      <w:r>
        <w:t>реваскуляризации</w:t>
      </w:r>
      <w:proofErr w:type="spellEnd"/>
      <w:r>
        <w:t>, оцениваемых через 1 год. Ключевой вторичной конечной точкой были общие неблагоприятные клинические события, определяемые как первичное конечное событие или массивное кровотечение.</w:t>
      </w:r>
    </w:p>
    <w:p w14:paraId="70FAABEC" w14:textId="3B0B8E6F" w:rsidR="00514B58" w:rsidRDefault="00514B58" w:rsidP="006668CD">
      <w:pPr>
        <w:spacing w:line="360" w:lineRule="auto"/>
      </w:pPr>
      <w:r>
        <w:t xml:space="preserve">В общей сложности </w:t>
      </w:r>
      <w:r w:rsidR="000850ED">
        <w:t xml:space="preserve">был включен </w:t>
      </w:r>
      <w:r>
        <w:t>2201 пациент. Средний возраст пациентов составил 66 лет, 14,4% из них были женщинами. Первичн</w:t>
      </w:r>
      <w:r w:rsidR="000850ED">
        <w:t xml:space="preserve">ая конечная точка была зарегистрирована </w:t>
      </w:r>
      <w:r>
        <w:t xml:space="preserve">у 53 пациентов (4,8%) в группе </w:t>
      </w:r>
      <w:proofErr w:type="spellStart"/>
      <w:r>
        <w:t>тикагрелор</w:t>
      </w:r>
      <w:proofErr w:type="spellEnd"/>
      <w:r>
        <w:t xml:space="preserve"> плюс аспирин и у 50 (4,6%) в группе </w:t>
      </w:r>
      <w:proofErr w:type="spellStart"/>
      <w:r>
        <w:t>монотерапии</w:t>
      </w:r>
      <w:proofErr w:type="spellEnd"/>
      <w:r>
        <w:t xml:space="preserve"> аспирином (коэффициент риска 1,06; 95% доверительный интервал 0,72–1,56; P = 0,77). Неблагоприятные клинические события наблюдались у 9,1% пациентов в группе </w:t>
      </w:r>
      <w:proofErr w:type="spellStart"/>
      <w:r>
        <w:t>тикагрелор</w:t>
      </w:r>
      <w:proofErr w:type="spellEnd"/>
      <w:r>
        <w:t xml:space="preserve"> плюс аспирин и у 6,4% в группе </w:t>
      </w:r>
      <w:proofErr w:type="spellStart"/>
      <w:r>
        <w:t>монотерапии</w:t>
      </w:r>
      <w:proofErr w:type="spellEnd"/>
      <w:r>
        <w:t xml:space="preserve"> аспирином (коэффициент риска 1,45; 95% ДИ 1,07–1,97). </w:t>
      </w:r>
      <w:r w:rsidR="000850ED">
        <w:t>Большие</w:t>
      </w:r>
      <w:r>
        <w:t xml:space="preserve"> кровотечения наблюдались у 4,9% пациентов в группе </w:t>
      </w:r>
      <w:proofErr w:type="spellStart"/>
      <w:r>
        <w:t>тикагрелор</w:t>
      </w:r>
      <w:r w:rsidR="000850ED">
        <w:t xml:space="preserve"> </w:t>
      </w:r>
      <w:r>
        <w:t>плюс</w:t>
      </w:r>
      <w:proofErr w:type="spellEnd"/>
      <w:r>
        <w:t xml:space="preserve"> аспирин и у 2,0% в группе </w:t>
      </w:r>
      <w:proofErr w:type="spellStart"/>
      <w:r>
        <w:t>монотерапии</w:t>
      </w:r>
      <w:proofErr w:type="spellEnd"/>
      <w:r>
        <w:t xml:space="preserve"> аспирином (коэффициент риска 2,50; 95% ДИ 1,52–4,11). </w:t>
      </w:r>
    </w:p>
    <w:p w14:paraId="3A954AE4" w14:textId="453157C8" w:rsidR="00514B58" w:rsidRDefault="000850ED" w:rsidP="006668CD">
      <w:pPr>
        <w:spacing w:line="360" w:lineRule="auto"/>
      </w:pPr>
      <w:r>
        <w:t xml:space="preserve">Таким образом, </w:t>
      </w:r>
      <w:r w:rsidR="002E77ED">
        <w:t>с</w:t>
      </w:r>
      <w:r w:rsidR="00514B58">
        <w:t xml:space="preserve">реди пациентов, перенесших коронарное шунтирование по поводу острого коронарного синдрома, терапия </w:t>
      </w:r>
      <w:proofErr w:type="spellStart"/>
      <w:r w:rsidR="00514B58">
        <w:t>тикагрелором</w:t>
      </w:r>
      <w:proofErr w:type="spellEnd"/>
      <w:r w:rsidR="00514B58">
        <w:t xml:space="preserve"> в сочетании с аспирином не привела к снижению частоты смерти, инфаркта миокарда, инсульта или повторной коронарной </w:t>
      </w:r>
      <w:proofErr w:type="spellStart"/>
      <w:r w:rsidR="00514B58">
        <w:t>реваскуляризации</w:t>
      </w:r>
      <w:proofErr w:type="spellEnd"/>
      <w:r w:rsidR="00514B58">
        <w:t xml:space="preserve"> по сравнению с </w:t>
      </w:r>
      <w:proofErr w:type="spellStart"/>
      <w:r w:rsidR="00514B58">
        <w:t>монотерапией</w:t>
      </w:r>
      <w:proofErr w:type="spellEnd"/>
      <w:r w:rsidR="00514B58">
        <w:t xml:space="preserve"> аспирином в течение 1 года</w:t>
      </w:r>
      <w:r w:rsidR="002E77ED">
        <w:t>, однако была сопряжена с увеличением риска кровотечений</w:t>
      </w:r>
      <w:r w:rsidR="00514B58">
        <w:t>.</w:t>
      </w:r>
    </w:p>
    <w:p w14:paraId="0B1F9C2A" w14:textId="0C363671" w:rsidR="00514B58" w:rsidRDefault="00514B58" w:rsidP="006668CD">
      <w:pPr>
        <w:spacing w:line="360" w:lineRule="auto"/>
      </w:pPr>
    </w:p>
    <w:p w14:paraId="55878713" w14:textId="7C1E2B1D" w:rsidR="0027453A" w:rsidRPr="006668CD" w:rsidRDefault="0027453A" w:rsidP="006668CD">
      <w:pPr>
        <w:spacing w:line="360" w:lineRule="auto"/>
        <w:rPr>
          <w:i/>
          <w:iCs/>
          <w:color w:val="212121"/>
          <w:shd w:val="clear" w:color="auto" w:fill="FFFFFF"/>
          <w:lang w:val="en-US"/>
        </w:rPr>
      </w:pPr>
      <w:proofErr w:type="spellStart"/>
      <w:r w:rsidRPr="006668CD">
        <w:rPr>
          <w:i/>
          <w:iCs/>
          <w:color w:val="212121"/>
          <w:shd w:val="clear" w:color="auto" w:fill="FFFFFF"/>
          <w:lang w:val="en-US"/>
        </w:rPr>
        <w:t>Jeppsson</w:t>
      </w:r>
      <w:proofErr w:type="spellEnd"/>
      <w:r w:rsidRPr="006668CD">
        <w:rPr>
          <w:i/>
          <w:iCs/>
          <w:color w:val="212121"/>
          <w:shd w:val="clear" w:color="auto" w:fill="FFFFFF"/>
          <w:lang w:val="en-US"/>
        </w:rPr>
        <w:t xml:space="preserve"> A, James S, Moller CH, et al Ticagrelor and Aspirin or Aspirin Alone after Coronary Surgery for Acute Coronary Syndrome. N </w:t>
      </w:r>
      <w:proofErr w:type="spellStart"/>
      <w:r w:rsidRPr="006668CD">
        <w:rPr>
          <w:i/>
          <w:iCs/>
          <w:color w:val="212121"/>
          <w:shd w:val="clear" w:color="auto" w:fill="FFFFFF"/>
          <w:lang w:val="en-US"/>
        </w:rPr>
        <w:t>Engl</w:t>
      </w:r>
      <w:proofErr w:type="spellEnd"/>
      <w:r w:rsidRPr="006668CD">
        <w:rPr>
          <w:i/>
          <w:iCs/>
          <w:color w:val="212121"/>
          <w:shd w:val="clear" w:color="auto" w:fill="FFFFFF"/>
          <w:lang w:val="en-US"/>
        </w:rPr>
        <w:t xml:space="preserve"> J Med. 2025 Sep 1. </w:t>
      </w:r>
      <w:proofErr w:type="spellStart"/>
      <w:r w:rsidRPr="006668CD">
        <w:rPr>
          <w:i/>
          <w:iCs/>
          <w:color w:val="212121"/>
          <w:shd w:val="clear" w:color="auto" w:fill="FFFFFF"/>
          <w:lang w:val="en-US"/>
        </w:rPr>
        <w:t>doi</w:t>
      </w:r>
      <w:proofErr w:type="spellEnd"/>
      <w:r w:rsidRPr="006668CD">
        <w:rPr>
          <w:i/>
          <w:iCs/>
          <w:color w:val="212121"/>
          <w:shd w:val="clear" w:color="auto" w:fill="FFFFFF"/>
          <w:lang w:val="en-US"/>
        </w:rPr>
        <w:t xml:space="preserve">: 10.1056/NEJMoa2508026. </w:t>
      </w:r>
    </w:p>
    <w:p w14:paraId="2C68FF28" w14:textId="4A6326FE" w:rsidR="0027453A" w:rsidRPr="006668CD" w:rsidRDefault="00B553F7" w:rsidP="006668CD">
      <w:pPr>
        <w:spacing w:line="360" w:lineRule="auto"/>
        <w:rPr>
          <w:i/>
          <w:iCs/>
          <w:lang w:val="en-US"/>
        </w:rPr>
      </w:pPr>
      <w:hyperlink r:id="rId6" w:history="1">
        <w:r w:rsidR="0027453A" w:rsidRPr="006668CD">
          <w:rPr>
            <w:rStyle w:val="a4"/>
            <w:i/>
            <w:iCs/>
            <w:lang w:val="en-US"/>
          </w:rPr>
          <w:t>https://www.nejm.org/doi/full/10.1056/NEJMoa2508026</w:t>
        </w:r>
      </w:hyperlink>
    </w:p>
    <w:p w14:paraId="429F84EF" w14:textId="58DBA89A" w:rsidR="0027453A" w:rsidRDefault="0027453A" w:rsidP="006668CD">
      <w:pPr>
        <w:spacing w:line="360" w:lineRule="auto"/>
        <w:rPr>
          <w:lang w:val="en-US"/>
        </w:rPr>
      </w:pPr>
    </w:p>
    <w:p w14:paraId="45DF731E" w14:textId="77777777" w:rsidR="006668CD" w:rsidRPr="004107AF" w:rsidRDefault="006668CD" w:rsidP="006668CD">
      <w:pPr>
        <w:spacing w:line="360" w:lineRule="auto"/>
        <w:ind w:firstLine="708"/>
      </w:pPr>
      <w:r w:rsidRPr="004107AF">
        <w:rPr>
          <w:b/>
          <w:bCs/>
          <w:color w:val="131212"/>
          <w:shd w:val="clear" w:color="auto" w:fill="FFFFFF"/>
        </w:rPr>
        <w:t>NEO-MINDSET</w:t>
      </w:r>
      <w:r w:rsidRPr="00256461">
        <w:rPr>
          <w:b/>
          <w:bCs/>
          <w:color w:val="131212"/>
          <w:shd w:val="clear" w:color="auto" w:fill="FFFFFF"/>
        </w:rPr>
        <w:t xml:space="preserve">: </w:t>
      </w:r>
      <w:proofErr w:type="spellStart"/>
      <w:r w:rsidRPr="00256461">
        <w:rPr>
          <w:b/>
          <w:bCs/>
          <w:color w:val="131212"/>
          <w:shd w:val="clear" w:color="auto" w:fill="FFFFFF"/>
        </w:rPr>
        <w:t>монотерапия</w:t>
      </w:r>
      <w:proofErr w:type="spellEnd"/>
      <w:r w:rsidRPr="00256461">
        <w:rPr>
          <w:b/>
          <w:bCs/>
          <w:color w:val="131212"/>
          <w:shd w:val="clear" w:color="auto" w:fill="FFFFFF"/>
        </w:rPr>
        <w:t xml:space="preserve"> «сильным» ингибитором </w:t>
      </w:r>
      <w:r w:rsidRPr="00256461">
        <w:rPr>
          <w:b/>
          <w:bCs/>
          <w:color w:val="131212"/>
          <w:shd w:val="clear" w:color="auto" w:fill="FFFFFF"/>
          <w:lang w:val="en-US"/>
        </w:rPr>
        <w:t>P</w:t>
      </w:r>
      <w:r w:rsidRPr="00256461">
        <w:rPr>
          <w:b/>
          <w:bCs/>
          <w:color w:val="131212"/>
          <w:shd w:val="clear" w:color="auto" w:fill="FFFFFF"/>
        </w:rPr>
        <w:t>2</w:t>
      </w:r>
      <w:r w:rsidRPr="00256461">
        <w:rPr>
          <w:b/>
          <w:bCs/>
          <w:color w:val="131212"/>
          <w:shd w:val="clear" w:color="auto" w:fill="FFFFFF"/>
          <w:lang w:val="en-US"/>
        </w:rPr>
        <w:t>Y</w:t>
      </w:r>
      <w:r w:rsidRPr="00256461">
        <w:rPr>
          <w:b/>
          <w:bCs/>
          <w:color w:val="131212"/>
          <w:shd w:val="clear" w:color="auto" w:fill="FFFFFF"/>
        </w:rPr>
        <w:t xml:space="preserve">12 рецептора против комбинации «сильного» ингибитора </w:t>
      </w:r>
      <w:r w:rsidRPr="00256461">
        <w:rPr>
          <w:b/>
          <w:bCs/>
          <w:color w:val="131212"/>
          <w:shd w:val="clear" w:color="auto" w:fill="FFFFFF"/>
          <w:lang w:val="en-US"/>
        </w:rPr>
        <w:t>P</w:t>
      </w:r>
      <w:r w:rsidRPr="00256461">
        <w:rPr>
          <w:b/>
          <w:bCs/>
          <w:color w:val="131212"/>
          <w:shd w:val="clear" w:color="auto" w:fill="FFFFFF"/>
        </w:rPr>
        <w:t>2</w:t>
      </w:r>
      <w:r w:rsidRPr="00256461">
        <w:rPr>
          <w:b/>
          <w:bCs/>
          <w:color w:val="131212"/>
          <w:shd w:val="clear" w:color="auto" w:fill="FFFFFF"/>
          <w:lang w:val="en-US"/>
        </w:rPr>
        <w:t>Y</w:t>
      </w:r>
      <w:r w:rsidRPr="00256461">
        <w:rPr>
          <w:b/>
          <w:bCs/>
          <w:color w:val="131212"/>
          <w:shd w:val="clear" w:color="auto" w:fill="FFFFFF"/>
        </w:rPr>
        <w:t xml:space="preserve">12 в течение 12 месяцев у пациентов с ОКС с подъемом и без подъема сегмента </w:t>
      </w:r>
      <w:r w:rsidRPr="00256461">
        <w:rPr>
          <w:b/>
          <w:bCs/>
          <w:color w:val="131212"/>
          <w:shd w:val="clear" w:color="auto" w:fill="FFFFFF"/>
          <w:lang w:val="en-US"/>
        </w:rPr>
        <w:t>ST</w:t>
      </w:r>
    </w:p>
    <w:p w14:paraId="28501998" w14:textId="77777777" w:rsidR="006668CD" w:rsidRPr="00256461" w:rsidRDefault="006668CD" w:rsidP="006668CD">
      <w:pPr>
        <w:spacing w:line="360" w:lineRule="auto"/>
        <w:ind w:firstLine="708"/>
      </w:pPr>
      <w:r w:rsidRPr="00256461">
        <w:t xml:space="preserve">В исследование включено 3410 пациентов (62,1% с </w:t>
      </w:r>
      <w:proofErr w:type="spellStart"/>
      <w:r w:rsidRPr="00256461">
        <w:t>ИМпST</w:t>
      </w:r>
      <w:proofErr w:type="spellEnd"/>
      <w:r w:rsidRPr="00256461">
        <w:t xml:space="preserve">, 37,9% с </w:t>
      </w:r>
      <w:proofErr w:type="spellStart"/>
      <w:r w:rsidRPr="00256461">
        <w:t>ОКСбпST</w:t>
      </w:r>
      <w:proofErr w:type="spellEnd"/>
      <w:r w:rsidRPr="00256461">
        <w:t xml:space="preserve">), </w:t>
      </w:r>
      <w:proofErr w:type="spellStart"/>
      <w:r w:rsidRPr="00256461">
        <w:t>рандомизированных</w:t>
      </w:r>
      <w:proofErr w:type="spellEnd"/>
      <w:r w:rsidRPr="00256461">
        <w:t xml:space="preserve"> в группу </w:t>
      </w:r>
      <w:proofErr w:type="spellStart"/>
      <w:r w:rsidRPr="00256461">
        <w:t>монотерапии</w:t>
      </w:r>
      <w:proofErr w:type="spellEnd"/>
      <w:r w:rsidRPr="00256461">
        <w:t xml:space="preserve"> мощным ингибитором P2Y12, либо ДАТТ (аспирин + мощный ингибитор P2Y12) в течение 12 месяцев. Было показано, что </w:t>
      </w:r>
      <w:proofErr w:type="spellStart"/>
      <w:r w:rsidRPr="00256461">
        <w:t>монотерапия</w:t>
      </w:r>
      <w:proofErr w:type="spellEnd"/>
      <w:r w:rsidRPr="00256461">
        <w:t xml:space="preserve"> по сравнению с ДАТТ у пациентов с </w:t>
      </w:r>
      <w:proofErr w:type="spellStart"/>
      <w:r w:rsidRPr="00256461">
        <w:t>ИМпST</w:t>
      </w:r>
      <w:proofErr w:type="spellEnd"/>
      <w:r w:rsidRPr="00256461">
        <w:t xml:space="preserve"> была связана с более высокой частотой комбинированной конечной точки смерть от любой причины, ИМ, инсульт или экстренная </w:t>
      </w:r>
      <w:proofErr w:type="spellStart"/>
      <w:r w:rsidRPr="00256461">
        <w:t>реваскуляризация</w:t>
      </w:r>
      <w:proofErr w:type="spellEnd"/>
      <w:r w:rsidRPr="00256461">
        <w:t xml:space="preserve"> целевого сосуда (8,2% против 5,2%; отношение рисков [ОР] 1,60). Напротив, у пациентов с </w:t>
      </w:r>
      <w:proofErr w:type="spellStart"/>
      <w:r w:rsidRPr="00256461">
        <w:t>ОКСбпST</w:t>
      </w:r>
      <w:proofErr w:type="spellEnd"/>
      <w:r w:rsidRPr="00256461">
        <w:t xml:space="preserve"> ишемические события были схожими в обеих </w:t>
      </w:r>
      <w:r w:rsidRPr="00256461">
        <w:lastRenderedPageBreak/>
        <w:t xml:space="preserve">группах (5,1% против 6,0%; ОР 0,84; p=0,030). Кроме того, частота кровотечений 2, 3 и 5 типов по </w:t>
      </w:r>
      <w:r w:rsidRPr="00256461">
        <w:rPr>
          <w:lang w:val="en-US"/>
        </w:rPr>
        <w:t>BARC</w:t>
      </w:r>
      <w:r w:rsidRPr="00256461">
        <w:t xml:space="preserve"> была ниже на фоне </w:t>
      </w:r>
      <w:proofErr w:type="spellStart"/>
      <w:r w:rsidRPr="00256461">
        <w:t>монотерапии</w:t>
      </w:r>
      <w:proofErr w:type="spellEnd"/>
      <w:r w:rsidRPr="00256461">
        <w:t xml:space="preserve"> по сравнению с ДАТТ как в группе </w:t>
      </w:r>
      <w:proofErr w:type="spellStart"/>
      <w:r w:rsidRPr="00256461">
        <w:t>ИМпST</w:t>
      </w:r>
      <w:proofErr w:type="spellEnd"/>
      <w:r w:rsidRPr="00256461">
        <w:t xml:space="preserve"> (ОР 0,37), так и в группе </w:t>
      </w:r>
      <w:proofErr w:type="spellStart"/>
      <w:r w:rsidRPr="00256461">
        <w:t>ОКСбпST</w:t>
      </w:r>
      <w:proofErr w:type="spellEnd"/>
      <w:r w:rsidRPr="00256461">
        <w:t xml:space="preserve"> (ОР 0,45). Полученные результаты свидетельствуют о том, что очень ранняя отмена аспирина не может быть рекомендована при инфаркте миокарда с подъемом сегмента ST, но эта стратегия, по-видимому, не приводит к чрезмерному ишемическому риску при остром коронарном синдроме без подъема сегмента ST». Эта гипотеза требует тщательного изучения в специально спланированных </w:t>
      </w:r>
      <w:proofErr w:type="spellStart"/>
      <w:r w:rsidRPr="00256461">
        <w:t>рандомизированных</w:t>
      </w:r>
      <w:proofErr w:type="spellEnd"/>
      <w:r w:rsidRPr="00256461">
        <w:t xml:space="preserve"> исследованиях.</w:t>
      </w:r>
    </w:p>
    <w:p w14:paraId="23F2B1F0" w14:textId="77777777" w:rsidR="006668CD" w:rsidRPr="00256461" w:rsidRDefault="006668CD" w:rsidP="006668CD">
      <w:pPr>
        <w:spacing w:line="360" w:lineRule="auto"/>
        <w:rPr>
          <w:i/>
          <w:iCs/>
          <w:color w:val="000000" w:themeColor="text1"/>
          <w:shd w:val="clear" w:color="auto" w:fill="FFFFFF"/>
        </w:rPr>
      </w:pPr>
      <w:r w:rsidRPr="002E798A">
        <w:rPr>
          <w:i/>
          <w:iCs/>
          <w:color w:val="000000" w:themeColor="text1"/>
          <w:shd w:val="clear" w:color="auto" w:fill="FFFFFF"/>
          <w:lang w:val="en-US"/>
        </w:rPr>
        <w:t xml:space="preserve">Tavares, C, </w:t>
      </w:r>
      <w:proofErr w:type="spellStart"/>
      <w:r w:rsidRPr="002E798A">
        <w:rPr>
          <w:i/>
          <w:iCs/>
          <w:color w:val="000000" w:themeColor="text1"/>
          <w:shd w:val="clear" w:color="auto" w:fill="FFFFFF"/>
          <w:lang w:val="en-US"/>
        </w:rPr>
        <w:t>Guimarães</w:t>
      </w:r>
      <w:proofErr w:type="spellEnd"/>
      <w:r w:rsidRPr="002E798A">
        <w:rPr>
          <w:i/>
          <w:iCs/>
          <w:color w:val="000000" w:themeColor="text1"/>
          <w:shd w:val="clear" w:color="auto" w:fill="FFFFFF"/>
          <w:lang w:val="en-US"/>
        </w:rPr>
        <w:t xml:space="preserve">, P, Franken, M. et al. Potent P2Y12 Inhibitor Monotherapy versus DAPT after PCI in Patients </w:t>
      </w:r>
      <w:proofErr w:type="gramStart"/>
      <w:r w:rsidRPr="002E798A">
        <w:rPr>
          <w:i/>
          <w:iCs/>
          <w:color w:val="000000" w:themeColor="text1"/>
          <w:shd w:val="clear" w:color="auto" w:fill="FFFFFF"/>
          <w:lang w:val="en-US"/>
        </w:rPr>
        <w:t>With</w:t>
      </w:r>
      <w:proofErr w:type="gramEnd"/>
      <w:r w:rsidRPr="002E798A">
        <w:rPr>
          <w:i/>
          <w:iCs/>
          <w:color w:val="000000" w:themeColor="text1"/>
          <w:shd w:val="clear" w:color="auto" w:fill="FFFFFF"/>
          <w:lang w:val="en-US"/>
        </w:rPr>
        <w:t xml:space="preserve"> and Without STEMI: NEO-MINDSET </w:t>
      </w:r>
      <w:proofErr w:type="spellStart"/>
      <w:r w:rsidRPr="002E798A">
        <w:rPr>
          <w:i/>
          <w:iCs/>
          <w:color w:val="000000" w:themeColor="text1"/>
          <w:shd w:val="clear" w:color="auto" w:fill="FFFFFF"/>
          <w:lang w:val="en-US"/>
        </w:rPr>
        <w:t>Substudy</w:t>
      </w:r>
      <w:proofErr w:type="spellEnd"/>
      <w:r w:rsidRPr="002E798A">
        <w:rPr>
          <w:i/>
          <w:iCs/>
          <w:color w:val="000000" w:themeColor="text1"/>
          <w:shd w:val="clear" w:color="auto" w:fill="FFFFFF"/>
          <w:lang w:val="en-US"/>
        </w:rPr>
        <w:t>. </w:t>
      </w:r>
      <w:r w:rsidRPr="002E798A">
        <w:rPr>
          <w:i/>
          <w:iCs/>
          <w:color w:val="000000" w:themeColor="text1"/>
          <w:shd w:val="clear" w:color="auto" w:fill="FFFFFF"/>
        </w:rPr>
        <w:t>JACC. null2025, 0 (0</w:t>
      </w:r>
      <w:proofErr w:type="gramStart"/>
      <w:r w:rsidRPr="002E798A">
        <w:rPr>
          <w:i/>
          <w:iCs/>
          <w:color w:val="000000" w:themeColor="text1"/>
          <w:shd w:val="clear" w:color="auto" w:fill="FFFFFF"/>
        </w:rPr>
        <w:t>) .</w:t>
      </w:r>
      <w:proofErr w:type="spellStart"/>
      <w:proofErr w:type="gramEnd"/>
      <w:r w:rsidRPr="002E798A">
        <w:rPr>
          <w:i/>
          <w:iCs/>
          <w:color w:val="000000" w:themeColor="text1"/>
          <w:shd w:val="clear" w:color="auto" w:fill="FFFFFF"/>
        </w:rPr>
        <w:fldChar w:fldCharType="begin"/>
      </w:r>
      <w:r w:rsidRPr="002E798A">
        <w:rPr>
          <w:i/>
          <w:iCs/>
          <w:color w:val="000000" w:themeColor="text1"/>
          <w:shd w:val="clear" w:color="auto" w:fill="FFFFFF"/>
        </w:rPr>
        <w:instrText xml:space="preserve"> HYPERLINK "https://doi.org/10.1016/j.jacc.2025.10.058" </w:instrText>
      </w:r>
      <w:r w:rsidRPr="002E798A">
        <w:rPr>
          <w:i/>
          <w:iCs/>
          <w:color w:val="000000" w:themeColor="text1"/>
          <w:shd w:val="clear" w:color="auto" w:fill="FFFFFF"/>
        </w:rPr>
        <w:fldChar w:fldCharType="separate"/>
      </w:r>
      <w:r w:rsidRPr="002E798A">
        <w:rPr>
          <w:b/>
          <w:bCs/>
          <w:i/>
          <w:iCs/>
          <w:color w:val="000000" w:themeColor="text1"/>
          <w:u w:val="single"/>
        </w:rPr>
        <w:t>https</w:t>
      </w:r>
      <w:proofErr w:type="spellEnd"/>
      <w:r w:rsidRPr="002E798A">
        <w:rPr>
          <w:b/>
          <w:bCs/>
          <w:i/>
          <w:iCs/>
          <w:color w:val="000000" w:themeColor="text1"/>
          <w:u w:val="single"/>
        </w:rPr>
        <w:t>://doi.org/10.1016/j.jacc.2025.10.058</w:t>
      </w:r>
      <w:r w:rsidRPr="002E798A">
        <w:rPr>
          <w:i/>
          <w:iCs/>
          <w:color w:val="000000" w:themeColor="text1"/>
          <w:shd w:val="clear" w:color="auto" w:fill="FFFFFF"/>
        </w:rPr>
        <w:fldChar w:fldCharType="end"/>
      </w:r>
    </w:p>
    <w:p w14:paraId="30A1163C" w14:textId="77777777" w:rsidR="006668CD" w:rsidRPr="00256461" w:rsidRDefault="006668CD" w:rsidP="006668CD">
      <w:pPr>
        <w:spacing w:line="360" w:lineRule="auto"/>
        <w:rPr>
          <w:color w:val="004176"/>
          <w:shd w:val="clear" w:color="auto" w:fill="FFFFFF"/>
        </w:rPr>
      </w:pPr>
    </w:p>
    <w:p w14:paraId="2EDED1AB" w14:textId="77777777" w:rsidR="006668CD" w:rsidRPr="00256461" w:rsidRDefault="006668CD" w:rsidP="006668CD">
      <w:pPr>
        <w:spacing w:line="360" w:lineRule="auto"/>
        <w:rPr>
          <w:b/>
          <w:bCs/>
          <w:color w:val="131212"/>
          <w:shd w:val="clear" w:color="auto" w:fill="FFFFFF"/>
        </w:rPr>
      </w:pPr>
      <w:r w:rsidRPr="008E5C49">
        <w:rPr>
          <w:b/>
          <w:bCs/>
          <w:color w:val="131212"/>
          <w:shd w:val="clear" w:color="auto" w:fill="FFFFFF"/>
        </w:rPr>
        <w:t>TUXEDO-2</w:t>
      </w:r>
      <w:r w:rsidRPr="00256461">
        <w:rPr>
          <w:b/>
          <w:bCs/>
          <w:color w:val="131212"/>
          <w:shd w:val="clear" w:color="auto" w:fill="FFFFFF"/>
        </w:rPr>
        <w:t xml:space="preserve">: </w:t>
      </w:r>
      <w:proofErr w:type="spellStart"/>
      <w:r w:rsidRPr="00256461">
        <w:rPr>
          <w:b/>
          <w:bCs/>
          <w:color w:val="131212"/>
          <w:shd w:val="clear" w:color="auto" w:fill="FFFFFF"/>
        </w:rPr>
        <w:t>тикагрелор</w:t>
      </w:r>
      <w:proofErr w:type="spellEnd"/>
      <w:r w:rsidRPr="00256461">
        <w:rPr>
          <w:b/>
          <w:bCs/>
          <w:color w:val="131212"/>
          <w:shd w:val="clear" w:color="auto" w:fill="FFFFFF"/>
        </w:rPr>
        <w:t xml:space="preserve"> против </w:t>
      </w:r>
      <w:proofErr w:type="spellStart"/>
      <w:r w:rsidRPr="00256461">
        <w:rPr>
          <w:b/>
          <w:bCs/>
          <w:color w:val="131212"/>
          <w:shd w:val="clear" w:color="auto" w:fill="FFFFFF"/>
        </w:rPr>
        <w:t>прасугрела</w:t>
      </w:r>
      <w:proofErr w:type="spellEnd"/>
      <w:r w:rsidRPr="00256461">
        <w:rPr>
          <w:b/>
          <w:bCs/>
          <w:color w:val="131212"/>
          <w:shd w:val="clear" w:color="auto" w:fill="FFFFFF"/>
        </w:rPr>
        <w:t xml:space="preserve"> после ЧКВ у пациентов с диабетом и многососудистым поражением коронарного русла</w:t>
      </w:r>
    </w:p>
    <w:p w14:paraId="351E46BE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Исследование проводилось в 66 медицинских центрах Индии и включило 1800 пациентов с сахарным диабетом 1 или 2 типа и многососудистым поражением коронарного русла (медиана возраста 60 лет, 29% женщин). Всем участникам было проведено ЧКВ с использованием </w:t>
      </w:r>
      <w:proofErr w:type="spellStart"/>
      <w:r w:rsidRPr="00256461">
        <w:rPr>
          <w:color w:val="131212"/>
          <w:shd w:val="clear" w:color="auto" w:fill="FFFFFF"/>
        </w:rPr>
        <w:t>стентов</w:t>
      </w:r>
      <w:proofErr w:type="spellEnd"/>
      <w:r w:rsidRPr="00256461">
        <w:rPr>
          <w:color w:val="131212"/>
          <w:shd w:val="clear" w:color="auto" w:fill="FFFFFF"/>
        </w:rPr>
        <w:t xml:space="preserve"> с лекарственным покрытием. Примерно 25% участников исследования получали инсулин, у 79% основанием для ЧКВ был острый коронарный синдром, а у 85% — </w:t>
      </w:r>
      <w:proofErr w:type="spellStart"/>
      <w:r w:rsidRPr="00256461">
        <w:rPr>
          <w:color w:val="131212"/>
          <w:shd w:val="clear" w:color="auto" w:fill="FFFFFF"/>
        </w:rPr>
        <w:t>трехсосудистое</w:t>
      </w:r>
      <w:proofErr w:type="spellEnd"/>
      <w:r w:rsidRPr="00256461">
        <w:rPr>
          <w:color w:val="131212"/>
          <w:shd w:val="clear" w:color="auto" w:fill="FFFFFF"/>
        </w:rPr>
        <w:t xml:space="preserve"> поражение.</w:t>
      </w:r>
    </w:p>
    <w:p w14:paraId="658CB4A6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Совокупная частота инфаркта миокарда, инсульта, осложнений, связанных с кровотечением, или смерти была численно ниже в группе </w:t>
      </w:r>
      <w:proofErr w:type="spellStart"/>
      <w:r w:rsidRPr="00256461">
        <w:rPr>
          <w:color w:val="131212"/>
          <w:shd w:val="clear" w:color="auto" w:fill="FFFFFF"/>
        </w:rPr>
        <w:t>прасугрела</w:t>
      </w:r>
      <w:proofErr w:type="spellEnd"/>
      <w:r w:rsidRPr="00256461">
        <w:rPr>
          <w:color w:val="131212"/>
          <w:shd w:val="clear" w:color="auto" w:fill="FFFFFF"/>
        </w:rPr>
        <w:t xml:space="preserve"> по сравнению с группой </w:t>
      </w:r>
      <w:proofErr w:type="spellStart"/>
      <w:r w:rsidRPr="00256461">
        <w:rPr>
          <w:color w:val="131212"/>
          <w:shd w:val="clear" w:color="auto" w:fill="FFFFFF"/>
        </w:rPr>
        <w:t>тикагрелора</w:t>
      </w:r>
      <w:proofErr w:type="spellEnd"/>
      <w:r w:rsidRPr="00256461">
        <w:rPr>
          <w:color w:val="131212"/>
          <w:shd w:val="clear" w:color="auto" w:fill="FFFFFF"/>
        </w:rPr>
        <w:t xml:space="preserve"> (14,23% против 16,57%, соответственно). Частота </w:t>
      </w:r>
      <w:proofErr w:type="spellStart"/>
      <w:r w:rsidRPr="00256461">
        <w:rPr>
          <w:color w:val="131212"/>
          <w:shd w:val="clear" w:color="auto" w:fill="FFFFFF"/>
        </w:rPr>
        <w:t>нефатального</w:t>
      </w:r>
      <w:proofErr w:type="spellEnd"/>
      <w:r w:rsidRPr="00256461">
        <w:rPr>
          <w:color w:val="131212"/>
          <w:shd w:val="clear" w:color="auto" w:fill="FFFFFF"/>
        </w:rPr>
        <w:t xml:space="preserve"> инфаркта миокарда составила 5,96% в группе </w:t>
      </w:r>
      <w:proofErr w:type="spellStart"/>
      <w:r w:rsidRPr="00256461">
        <w:rPr>
          <w:color w:val="131212"/>
          <w:shd w:val="clear" w:color="auto" w:fill="FFFFFF"/>
        </w:rPr>
        <w:t>тикагрелора</w:t>
      </w:r>
      <w:proofErr w:type="spellEnd"/>
      <w:r w:rsidRPr="00256461">
        <w:rPr>
          <w:color w:val="131212"/>
          <w:shd w:val="clear" w:color="auto" w:fill="FFFFFF"/>
        </w:rPr>
        <w:t xml:space="preserve"> по сравнению с 5,21% в группе </w:t>
      </w:r>
      <w:proofErr w:type="spellStart"/>
      <w:r w:rsidRPr="00256461">
        <w:rPr>
          <w:color w:val="131212"/>
          <w:shd w:val="clear" w:color="auto" w:fill="FFFFFF"/>
        </w:rPr>
        <w:t>прасугрела</w:t>
      </w:r>
      <w:proofErr w:type="spellEnd"/>
      <w:r w:rsidRPr="00256461">
        <w:rPr>
          <w:color w:val="131212"/>
          <w:shd w:val="clear" w:color="auto" w:fill="FFFFFF"/>
        </w:rPr>
        <w:t xml:space="preserve">; частота крупных кровотечений составила 8,41% среди пациентов, принимавших </w:t>
      </w:r>
      <w:proofErr w:type="spellStart"/>
      <w:r w:rsidRPr="00256461">
        <w:rPr>
          <w:color w:val="131212"/>
          <w:shd w:val="clear" w:color="auto" w:fill="FFFFFF"/>
        </w:rPr>
        <w:t>тикагрелор</w:t>
      </w:r>
      <w:proofErr w:type="spellEnd"/>
      <w:r w:rsidRPr="00256461">
        <w:rPr>
          <w:color w:val="131212"/>
          <w:shd w:val="clear" w:color="auto" w:fill="FFFFFF"/>
        </w:rPr>
        <w:t xml:space="preserve">, против 7,14% среди пациентов, принимавших </w:t>
      </w:r>
      <w:proofErr w:type="spellStart"/>
      <w:r w:rsidRPr="00256461">
        <w:rPr>
          <w:color w:val="131212"/>
          <w:shd w:val="clear" w:color="auto" w:fill="FFFFFF"/>
        </w:rPr>
        <w:t>прасугрел</w:t>
      </w:r>
      <w:proofErr w:type="spellEnd"/>
      <w:r w:rsidRPr="00256461">
        <w:rPr>
          <w:color w:val="131212"/>
          <w:shd w:val="clear" w:color="auto" w:fill="FFFFFF"/>
        </w:rPr>
        <w:t xml:space="preserve">; а частота летальных исходов составила 5,03% в группе </w:t>
      </w:r>
      <w:proofErr w:type="spellStart"/>
      <w:r w:rsidRPr="00256461">
        <w:rPr>
          <w:color w:val="131212"/>
          <w:shd w:val="clear" w:color="auto" w:fill="FFFFFF"/>
        </w:rPr>
        <w:t>тикагрелора</w:t>
      </w:r>
      <w:proofErr w:type="spellEnd"/>
      <w:r w:rsidRPr="00256461">
        <w:rPr>
          <w:color w:val="131212"/>
          <w:shd w:val="clear" w:color="auto" w:fill="FFFFFF"/>
        </w:rPr>
        <w:t xml:space="preserve"> и 3,67% в группе </w:t>
      </w:r>
      <w:proofErr w:type="spellStart"/>
      <w:r w:rsidRPr="00256461">
        <w:rPr>
          <w:color w:val="131212"/>
          <w:shd w:val="clear" w:color="auto" w:fill="FFFFFF"/>
        </w:rPr>
        <w:t>прасугрела</w:t>
      </w:r>
      <w:proofErr w:type="spellEnd"/>
      <w:r w:rsidRPr="00256461">
        <w:rPr>
          <w:color w:val="131212"/>
          <w:shd w:val="clear" w:color="auto" w:fill="FFFFFF"/>
        </w:rPr>
        <w:t>.</w:t>
      </w:r>
    </w:p>
    <w:p w14:paraId="61FB2509" w14:textId="55BC4BAA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По мнению исследователей, полученные результаты указывают на то, что </w:t>
      </w:r>
      <w:proofErr w:type="spellStart"/>
      <w:r w:rsidRPr="00256461">
        <w:rPr>
          <w:color w:val="131212"/>
          <w:shd w:val="clear" w:color="auto" w:fill="FFFFFF"/>
        </w:rPr>
        <w:t>прасугрел</w:t>
      </w:r>
      <w:proofErr w:type="spellEnd"/>
      <w:r w:rsidRPr="00256461">
        <w:rPr>
          <w:color w:val="131212"/>
          <w:shd w:val="clear" w:color="auto" w:fill="FFFFFF"/>
        </w:rPr>
        <w:t xml:space="preserve"> потенциально может быть лучшим выбором для пациентов с сахарным диабетом 1-го или 2-го типа.</w:t>
      </w:r>
    </w:p>
    <w:p w14:paraId="7AC8B736" w14:textId="77777777" w:rsidR="006668CD" w:rsidRPr="00256461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hyperlink r:id="rId7" w:history="1">
        <w:r w:rsidRPr="00256461">
          <w:rPr>
            <w:rStyle w:val="a4"/>
            <w:i/>
            <w:iCs/>
            <w:shd w:val="clear" w:color="auto" w:fill="FFFFFF"/>
          </w:rPr>
          <w:t>https://www.acc.org/Latest-in-Cardiology/Articles/2025/11/03/16/19/mon-915am-tuxedo-aha-2025</w:t>
        </w:r>
      </w:hyperlink>
    </w:p>
    <w:p w14:paraId="012996DF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</w:p>
    <w:p w14:paraId="338D8D0E" w14:textId="77777777" w:rsidR="006668CD" w:rsidRPr="00960830" w:rsidRDefault="006668CD" w:rsidP="00F06A66">
      <w:pPr>
        <w:spacing w:line="360" w:lineRule="auto"/>
        <w:ind w:firstLine="708"/>
        <w:rPr>
          <w:b/>
          <w:bCs/>
        </w:rPr>
      </w:pPr>
      <w:r w:rsidRPr="00960830">
        <w:rPr>
          <w:b/>
          <w:bCs/>
          <w:color w:val="4D4D4D"/>
          <w:spacing w:val="5"/>
          <w:shd w:val="clear" w:color="auto" w:fill="FFFFFF"/>
        </w:rPr>
        <w:lastRenderedPageBreak/>
        <w:t>CELEBRATE</w:t>
      </w:r>
      <w:r w:rsidRPr="00256461">
        <w:rPr>
          <w:b/>
          <w:bCs/>
          <w:color w:val="4D4D4D"/>
          <w:spacing w:val="5"/>
          <w:shd w:val="clear" w:color="auto" w:fill="FFFFFF"/>
        </w:rPr>
        <w:t xml:space="preserve">: </w:t>
      </w:r>
      <w:proofErr w:type="spellStart"/>
      <w:r w:rsidRPr="00256461">
        <w:rPr>
          <w:b/>
          <w:bCs/>
          <w:color w:val="4D4D4D"/>
          <w:spacing w:val="5"/>
          <w:shd w:val="clear" w:color="auto" w:fill="FFFFFF"/>
        </w:rPr>
        <w:t>залунфибан</w:t>
      </w:r>
      <w:proofErr w:type="spellEnd"/>
      <w:r w:rsidRPr="00256461">
        <w:rPr>
          <w:b/>
          <w:bCs/>
          <w:color w:val="4D4D4D"/>
          <w:spacing w:val="5"/>
          <w:shd w:val="clear" w:color="auto" w:fill="FFFFFF"/>
        </w:rPr>
        <w:t xml:space="preserve"> при первом медицинском контакте с пациентом с </w:t>
      </w:r>
      <w:proofErr w:type="spellStart"/>
      <w:r w:rsidRPr="00256461">
        <w:rPr>
          <w:b/>
          <w:bCs/>
          <w:color w:val="4D4D4D"/>
          <w:spacing w:val="5"/>
          <w:shd w:val="clear" w:color="auto" w:fill="FFFFFF"/>
        </w:rPr>
        <w:t>ИМп</w:t>
      </w:r>
      <w:proofErr w:type="spellEnd"/>
      <w:r w:rsidRPr="00256461">
        <w:rPr>
          <w:b/>
          <w:bCs/>
          <w:color w:val="4D4D4D"/>
          <w:spacing w:val="5"/>
          <w:shd w:val="clear" w:color="auto" w:fill="FFFFFF"/>
          <w:lang w:val="en-US"/>
        </w:rPr>
        <w:t>ST</w:t>
      </w:r>
    </w:p>
    <w:p w14:paraId="586913B9" w14:textId="77777777" w:rsidR="006668CD" w:rsidRPr="00256461" w:rsidRDefault="006668CD" w:rsidP="00F06A66">
      <w:pPr>
        <w:spacing w:line="360" w:lineRule="auto"/>
        <w:ind w:firstLine="708"/>
        <w:rPr>
          <w:color w:val="131212"/>
          <w:shd w:val="clear" w:color="auto" w:fill="FFFFFF"/>
        </w:rPr>
      </w:pPr>
      <w:proofErr w:type="spellStart"/>
      <w:r w:rsidRPr="00256461">
        <w:rPr>
          <w:color w:val="131212"/>
          <w:shd w:val="clear" w:color="auto" w:fill="FFFFFF"/>
        </w:rPr>
        <w:t>Залунфибан</w:t>
      </w:r>
      <w:proofErr w:type="spellEnd"/>
      <w:r w:rsidRPr="00256461">
        <w:rPr>
          <w:color w:val="131212"/>
          <w:shd w:val="clear" w:color="auto" w:fill="FFFFFF"/>
        </w:rPr>
        <w:t xml:space="preserve"> – новый короткодействующий ингибитор гликопротеина </w:t>
      </w:r>
      <w:proofErr w:type="spellStart"/>
      <w:r w:rsidRPr="00256461">
        <w:rPr>
          <w:color w:val="131212"/>
          <w:shd w:val="clear" w:color="auto" w:fill="FFFFFF"/>
        </w:rPr>
        <w:t>IIb</w:t>
      </w:r>
      <w:proofErr w:type="spellEnd"/>
      <w:r w:rsidRPr="00256461">
        <w:rPr>
          <w:color w:val="131212"/>
          <w:shd w:val="clear" w:color="auto" w:fill="FFFFFF"/>
        </w:rPr>
        <w:t>/</w:t>
      </w:r>
      <w:proofErr w:type="spellStart"/>
      <w:r w:rsidRPr="00256461">
        <w:rPr>
          <w:color w:val="131212"/>
          <w:shd w:val="clear" w:color="auto" w:fill="FFFFFF"/>
        </w:rPr>
        <w:t>IIIa</w:t>
      </w:r>
      <w:proofErr w:type="spellEnd"/>
      <w:r w:rsidRPr="00256461">
        <w:rPr>
          <w:color w:val="131212"/>
          <w:shd w:val="clear" w:color="auto" w:fill="FFFFFF"/>
        </w:rPr>
        <w:t>, предназначенный для подкожного введения при первом обращении за медицинской помощью пациентам с подозрением на инфаркт миокарда с подъемом сегмента ST (</w:t>
      </w:r>
      <w:proofErr w:type="spellStart"/>
      <w:r w:rsidRPr="00256461">
        <w:rPr>
          <w:color w:val="131212"/>
          <w:shd w:val="clear" w:color="auto" w:fill="FFFFFF"/>
        </w:rPr>
        <w:t>ИМпST</w:t>
      </w:r>
      <w:proofErr w:type="spellEnd"/>
      <w:r w:rsidRPr="00256461">
        <w:rPr>
          <w:color w:val="131212"/>
          <w:shd w:val="clear" w:color="auto" w:fill="FFFFFF"/>
        </w:rPr>
        <w:t>).</w:t>
      </w:r>
    </w:p>
    <w:p w14:paraId="52268A0B" w14:textId="77777777" w:rsidR="006668CD" w:rsidRPr="00256461" w:rsidRDefault="006668CD" w:rsidP="00F06A66">
      <w:pPr>
        <w:spacing w:line="360" w:lineRule="auto"/>
        <w:ind w:firstLine="708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В международном двойном слепом плацебо-контролируемом исследовании пациенты с </w:t>
      </w:r>
      <w:proofErr w:type="spellStart"/>
      <w:r w:rsidRPr="00256461">
        <w:rPr>
          <w:color w:val="131212"/>
          <w:shd w:val="clear" w:color="auto" w:fill="FFFFFF"/>
        </w:rPr>
        <w:t>ИМпST</w:t>
      </w:r>
      <w:proofErr w:type="spellEnd"/>
      <w:r w:rsidRPr="00256461">
        <w:rPr>
          <w:color w:val="131212"/>
          <w:shd w:val="clear" w:color="auto" w:fill="FFFFFF"/>
        </w:rPr>
        <w:t xml:space="preserve"> были </w:t>
      </w:r>
      <w:proofErr w:type="spellStart"/>
      <w:r w:rsidRPr="00256461">
        <w:rPr>
          <w:color w:val="131212"/>
          <w:shd w:val="clear" w:color="auto" w:fill="FFFFFF"/>
        </w:rPr>
        <w:t>рандомизированы</w:t>
      </w:r>
      <w:proofErr w:type="spellEnd"/>
      <w:r w:rsidRPr="00256461">
        <w:rPr>
          <w:color w:val="131212"/>
          <w:shd w:val="clear" w:color="auto" w:fill="FFFFFF"/>
        </w:rPr>
        <w:t xml:space="preserve"> в соотношении 1:1:1 в группы однократной подкожной инъекции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(0,11 мг/кг или 0,13 мг/кг) или плацебо. Первичной конечной точкой эффективности была иерархическая пропорциональная модель шансов, ранжирующая семь конечных точек от худшей к лучшей: смерть от любой причины, инсульт, рецидив инфаркта миокарда, острый тромбоз </w:t>
      </w:r>
      <w:proofErr w:type="spellStart"/>
      <w:r w:rsidRPr="00256461">
        <w:rPr>
          <w:color w:val="131212"/>
          <w:shd w:val="clear" w:color="auto" w:fill="FFFFFF"/>
        </w:rPr>
        <w:t>стента</w:t>
      </w:r>
      <w:proofErr w:type="spellEnd"/>
      <w:r w:rsidRPr="00256461">
        <w:rPr>
          <w:color w:val="131212"/>
          <w:shd w:val="clear" w:color="auto" w:fill="FFFFFF"/>
        </w:rPr>
        <w:t>, впервые выявленная или повторная госпитализация по поводу сердечной недостаточности, больший размер инфаркта или отсутствие конечной точки в течение 30 дней. Первичной конечной точкой безопасности было возникновение тяжелого или опасного для жизни кровотечения в соответствии с критериями GUSTO.</w:t>
      </w:r>
    </w:p>
    <w:p w14:paraId="2B8AA476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Было включено 2467 пациентов (853 в группу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0,11 мг/кг, 818 в группу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0,13 мг/кг и 796 в группу плацебо). Первичная конечная точка эффективности была значительно улучшена при применении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(скорректированное отношение шансов 0,79; 95% доверительный интервал 0,65–0,98; P = 0,028). Частота тяжёлых кровотечений по шкале GUSTO была схожей у пациентов, получавших </w:t>
      </w:r>
      <w:proofErr w:type="spellStart"/>
      <w:r w:rsidRPr="00256461">
        <w:rPr>
          <w:color w:val="131212"/>
          <w:shd w:val="clear" w:color="auto" w:fill="FFFFFF"/>
        </w:rPr>
        <w:t>залунфибан</w:t>
      </w:r>
      <w:proofErr w:type="spellEnd"/>
      <w:r w:rsidRPr="00256461">
        <w:rPr>
          <w:color w:val="131212"/>
          <w:shd w:val="clear" w:color="auto" w:fill="FFFFFF"/>
        </w:rPr>
        <w:t xml:space="preserve">, и плацебо (1,2% против 0,8%; P = 0,40), но частота лёгких и умеренных кровотечений по шкале GUSTO была выше у получивших </w:t>
      </w:r>
      <w:proofErr w:type="spellStart"/>
      <w:r w:rsidRPr="00256461">
        <w:rPr>
          <w:color w:val="131212"/>
          <w:shd w:val="clear" w:color="auto" w:fill="FFFFFF"/>
        </w:rPr>
        <w:t>залунфибан</w:t>
      </w:r>
      <w:proofErr w:type="spellEnd"/>
      <w:r w:rsidRPr="00256461">
        <w:rPr>
          <w:color w:val="131212"/>
          <w:shd w:val="clear" w:color="auto" w:fill="FFFFFF"/>
        </w:rPr>
        <w:t xml:space="preserve"> (6,4% против 2,5%; P </w:t>
      </w:r>
      <w:proofErr w:type="gramStart"/>
      <w:r w:rsidRPr="00256461">
        <w:rPr>
          <w:color w:val="131212"/>
          <w:shd w:val="clear" w:color="auto" w:fill="FFFFFF"/>
        </w:rPr>
        <w:t>&lt; 0,001</w:t>
      </w:r>
      <w:proofErr w:type="gramEnd"/>
      <w:r w:rsidRPr="00256461">
        <w:rPr>
          <w:color w:val="131212"/>
          <w:shd w:val="clear" w:color="auto" w:fill="FFFFFF"/>
        </w:rPr>
        <w:t xml:space="preserve">). Ангиография показала лучшие показатели коронарного кровотока (большую скорость прохождения контраста) при применении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по сравнению с плацебо (скорректированное количество кадров инфаркт-связанной артерии: 109 [35; 176] против 176 [40;176]; P = 0,012).</w:t>
      </w:r>
    </w:p>
    <w:p w14:paraId="00D3FBE4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proofErr w:type="spellStart"/>
      <w:r w:rsidRPr="00256461">
        <w:rPr>
          <w:color w:val="131212"/>
          <w:shd w:val="clear" w:color="auto" w:fill="FFFFFF"/>
        </w:rPr>
        <w:t>Т.о</w:t>
      </w:r>
      <w:proofErr w:type="spellEnd"/>
      <w:r w:rsidRPr="00256461">
        <w:rPr>
          <w:color w:val="131212"/>
          <w:shd w:val="clear" w:color="auto" w:fill="FFFFFF"/>
        </w:rPr>
        <w:t xml:space="preserve">., у пациентов с инфарктом миокарда с подъемом сегмента ST </w:t>
      </w:r>
      <w:proofErr w:type="spellStart"/>
      <w:r w:rsidRPr="00256461">
        <w:rPr>
          <w:color w:val="131212"/>
          <w:shd w:val="clear" w:color="auto" w:fill="FFFFFF"/>
        </w:rPr>
        <w:t>залунфибан</w:t>
      </w:r>
      <w:proofErr w:type="spellEnd"/>
      <w:r w:rsidRPr="00256461">
        <w:rPr>
          <w:color w:val="131212"/>
          <w:shd w:val="clear" w:color="auto" w:fill="FFFFFF"/>
        </w:rPr>
        <w:t xml:space="preserve">, введенный при первом медицинском контакте, значительно улучшил проходимость инфаркт-связанной артерии до вмешательства и снизил вероятность худшего значения 30-дневной многокомпонентной иерархической клинической конечной точки. Применение </w:t>
      </w:r>
      <w:proofErr w:type="spellStart"/>
      <w:r w:rsidRPr="00256461">
        <w:rPr>
          <w:color w:val="131212"/>
          <w:shd w:val="clear" w:color="auto" w:fill="FFFFFF"/>
        </w:rPr>
        <w:t>залунфибана</w:t>
      </w:r>
      <w:proofErr w:type="spellEnd"/>
      <w:r w:rsidRPr="00256461">
        <w:rPr>
          <w:color w:val="131212"/>
          <w:shd w:val="clear" w:color="auto" w:fill="FFFFFF"/>
        </w:rPr>
        <w:t xml:space="preserve"> не было связано с увеличением количества тяжелых или опасных для жизни кровотечений, но было связано с увеличением количества легких или умеренных кровотечений.</w:t>
      </w:r>
    </w:p>
    <w:p w14:paraId="5F731612" w14:textId="77777777" w:rsidR="006668CD" w:rsidRPr="00256461" w:rsidRDefault="006668CD" w:rsidP="006668CD">
      <w:pPr>
        <w:spacing w:line="360" w:lineRule="auto"/>
        <w:rPr>
          <w:i/>
          <w:iCs/>
          <w:color w:val="212121"/>
          <w:shd w:val="clear" w:color="auto" w:fill="FFFFFF"/>
          <w:lang w:val="en-US"/>
        </w:rPr>
      </w:pPr>
      <w:proofErr w:type="spellStart"/>
      <w:r w:rsidRPr="00960830">
        <w:rPr>
          <w:i/>
          <w:iCs/>
          <w:color w:val="212121"/>
          <w:shd w:val="clear" w:color="auto" w:fill="FFFFFF"/>
          <w:lang w:val="en-US"/>
        </w:rPr>
        <w:lastRenderedPageBreak/>
        <w:t>Van't</w:t>
      </w:r>
      <w:proofErr w:type="spellEnd"/>
      <w:r w:rsidRPr="00960830">
        <w:rPr>
          <w:i/>
          <w:iCs/>
          <w:color w:val="212121"/>
          <w:shd w:val="clear" w:color="auto" w:fill="FFFFFF"/>
          <w:lang w:val="en-US"/>
        </w:rPr>
        <w:t xml:space="preserve"> Hof AWJ, Gibson CM, </w:t>
      </w:r>
      <w:proofErr w:type="spellStart"/>
      <w:r w:rsidRPr="00960830">
        <w:rPr>
          <w:i/>
          <w:iCs/>
          <w:color w:val="212121"/>
          <w:shd w:val="clear" w:color="auto" w:fill="FFFFFF"/>
          <w:lang w:val="en-US"/>
        </w:rPr>
        <w:t>Rikken</w:t>
      </w:r>
      <w:proofErr w:type="spellEnd"/>
      <w:r w:rsidRPr="00960830">
        <w:rPr>
          <w:i/>
          <w:iCs/>
          <w:color w:val="212121"/>
          <w:shd w:val="clear" w:color="auto" w:fill="FFFFFF"/>
          <w:lang w:val="en-US"/>
        </w:rPr>
        <w:t xml:space="preserve"> SAOF,</w:t>
      </w:r>
      <w:r w:rsidRPr="00256461">
        <w:rPr>
          <w:i/>
          <w:iCs/>
          <w:color w:val="212121"/>
          <w:shd w:val="clear" w:color="auto" w:fill="FFFFFF"/>
          <w:lang w:val="en-US"/>
        </w:rPr>
        <w:t xml:space="preserve"> et al</w:t>
      </w:r>
      <w:r w:rsidRPr="00960830">
        <w:rPr>
          <w:i/>
          <w:iCs/>
          <w:color w:val="212121"/>
          <w:shd w:val="clear" w:color="auto" w:fill="FFFFFF"/>
          <w:lang w:val="en-US"/>
        </w:rPr>
        <w:t xml:space="preserve">. </w:t>
      </w:r>
      <w:proofErr w:type="spellStart"/>
      <w:r w:rsidRPr="00960830">
        <w:rPr>
          <w:i/>
          <w:iCs/>
          <w:color w:val="212121"/>
          <w:shd w:val="clear" w:color="auto" w:fill="FFFFFF"/>
          <w:lang w:val="en-US"/>
        </w:rPr>
        <w:t>Zalunfiban</w:t>
      </w:r>
      <w:proofErr w:type="spellEnd"/>
      <w:r w:rsidRPr="00960830">
        <w:rPr>
          <w:i/>
          <w:iCs/>
          <w:color w:val="212121"/>
          <w:shd w:val="clear" w:color="auto" w:fill="FFFFFF"/>
          <w:lang w:val="en-US"/>
        </w:rPr>
        <w:t xml:space="preserve"> at First Medical Contact for ST-Elevation Myocardial Infarction. NEJM Evid. 2025 Nov </w:t>
      </w:r>
      <w:proofErr w:type="gramStart"/>
      <w:r w:rsidRPr="00960830">
        <w:rPr>
          <w:i/>
          <w:iCs/>
          <w:color w:val="212121"/>
          <w:shd w:val="clear" w:color="auto" w:fill="FFFFFF"/>
          <w:lang w:val="en-US"/>
        </w:rPr>
        <w:t>10:EVIDoa</w:t>
      </w:r>
      <w:proofErr w:type="gramEnd"/>
      <w:r w:rsidRPr="00960830">
        <w:rPr>
          <w:i/>
          <w:iCs/>
          <w:color w:val="212121"/>
          <w:shd w:val="clear" w:color="auto" w:fill="FFFFFF"/>
          <w:lang w:val="en-US"/>
        </w:rPr>
        <w:t xml:space="preserve">2500268. </w:t>
      </w:r>
      <w:proofErr w:type="spellStart"/>
      <w:r w:rsidRPr="00960830">
        <w:rPr>
          <w:i/>
          <w:iCs/>
          <w:color w:val="212121"/>
          <w:shd w:val="clear" w:color="auto" w:fill="FFFFFF"/>
          <w:lang w:val="en-US"/>
        </w:rPr>
        <w:t>doi</w:t>
      </w:r>
      <w:proofErr w:type="spellEnd"/>
      <w:r w:rsidRPr="00960830">
        <w:rPr>
          <w:i/>
          <w:iCs/>
          <w:color w:val="212121"/>
          <w:shd w:val="clear" w:color="auto" w:fill="FFFFFF"/>
          <w:lang w:val="en-US"/>
        </w:rPr>
        <w:t xml:space="preserve">: 10.1056/EVIDoa2500268. </w:t>
      </w:r>
    </w:p>
    <w:p w14:paraId="5D228BE0" w14:textId="77777777" w:rsidR="006668CD" w:rsidRDefault="006668CD" w:rsidP="006668CD">
      <w:pPr>
        <w:spacing w:line="360" w:lineRule="auto"/>
        <w:rPr>
          <w:i/>
          <w:iCs/>
          <w:color w:val="131212"/>
          <w:shd w:val="clear" w:color="auto" w:fill="FFFFFF"/>
          <w:lang w:val="en-US"/>
        </w:rPr>
      </w:pPr>
      <w:hyperlink r:id="rId8" w:history="1">
        <w:r w:rsidRPr="00256461">
          <w:rPr>
            <w:rStyle w:val="a4"/>
            <w:i/>
            <w:iCs/>
            <w:shd w:val="clear" w:color="auto" w:fill="FFFFFF"/>
            <w:lang w:val="en-US"/>
          </w:rPr>
          <w:t>https://evidence.nejm.org/doi/full/10.1056/EVIDoa2500268</w:t>
        </w:r>
      </w:hyperlink>
    </w:p>
    <w:p w14:paraId="115D05CA" w14:textId="77777777" w:rsidR="006668CD" w:rsidRDefault="006668CD" w:rsidP="006668CD">
      <w:pPr>
        <w:spacing w:line="360" w:lineRule="auto"/>
        <w:rPr>
          <w:i/>
          <w:iCs/>
          <w:color w:val="131212"/>
          <w:shd w:val="clear" w:color="auto" w:fill="FFFFFF"/>
          <w:lang w:val="en-US"/>
        </w:rPr>
      </w:pPr>
    </w:p>
    <w:p w14:paraId="38B3E210" w14:textId="77777777" w:rsidR="006668CD" w:rsidRPr="00BB7894" w:rsidRDefault="006668CD" w:rsidP="006668CD">
      <w:pPr>
        <w:spacing w:line="360" w:lineRule="auto"/>
        <w:rPr>
          <w:b/>
          <w:color w:val="222122"/>
        </w:rPr>
      </w:pPr>
      <w:r w:rsidRPr="00D040B9">
        <w:rPr>
          <w:b/>
          <w:bCs/>
          <w:color w:val="222122"/>
        </w:rPr>
        <w:t xml:space="preserve">ADAPT AF-DES: </w:t>
      </w:r>
      <w:proofErr w:type="spellStart"/>
      <w:r>
        <w:rPr>
          <w:b/>
          <w:color w:val="222122"/>
        </w:rPr>
        <w:t>м</w:t>
      </w:r>
      <w:r w:rsidRPr="00BB7894">
        <w:rPr>
          <w:b/>
          <w:color w:val="222122"/>
        </w:rPr>
        <w:t>онотерапия</w:t>
      </w:r>
      <w:proofErr w:type="spellEnd"/>
      <w:r w:rsidRPr="00BB7894">
        <w:rPr>
          <w:b/>
          <w:color w:val="222122"/>
        </w:rPr>
        <w:t xml:space="preserve"> ПОАК </w:t>
      </w:r>
      <w:r>
        <w:rPr>
          <w:b/>
          <w:color w:val="222122"/>
        </w:rPr>
        <w:t>против</w:t>
      </w:r>
      <w:r w:rsidRPr="00BB7894">
        <w:rPr>
          <w:b/>
          <w:color w:val="222122"/>
        </w:rPr>
        <w:t xml:space="preserve"> комбинации с </w:t>
      </w:r>
      <w:proofErr w:type="spellStart"/>
      <w:r w:rsidRPr="00BB7894">
        <w:rPr>
          <w:b/>
          <w:color w:val="222122"/>
        </w:rPr>
        <w:t>клопидогрелом</w:t>
      </w:r>
      <w:proofErr w:type="spellEnd"/>
      <w:r w:rsidRPr="00BB7894">
        <w:rPr>
          <w:b/>
          <w:color w:val="222122"/>
        </w:rPr>
        <w:t xml:space="preserve"> при стабильной ИБС и ФП</w:t>
      </w:r>
    </w:p>
    <w:p w14:paraId="67F444D2" w14:textId="77777777" w:rsidR="006668CD" w:rsidRPr="00BB7894" w:rsidRDefault="006668CD" w:rsidP="006668CD">
      <w:pPr>
        <w:spacing w:line="360" w:lineRule="auto"/>
        <w:rPr>
          <w:color w:val="222122"/>
        </w:rPr>
      </w:pPr>
      <w:r w:rsidRPr="00BB7894">
        <w:rPr>
          <w:color w:val="222122"/>
        </w:rPr>
        <w:t xml:space="preserve">На научной сессии АНА 2025 опубликованы результаты исследования ADAPT AF-DES, вновь подтвердившие целесообразность </w:t>
      </w:r>
      <w:proofErr w:type="spellStart"/>
      <w:r w:rsidRPr="00BB7894">
        <w:rPr>
          <w:color w:val="222122"/>
        </w:rPr>
        <w:t>монотерапии</w:t>
      </w:r>
      <w:proofErr w:type="spellEnd"/>
      <w:r w:rsidRPr="00BB7894">
        <w:rPr>
          <w:color w:val="222122"/>
        </w:rPr>
        <w:t xml:space="preserve"> ПОАК у пациентов с ФП и стабильной ИБС, которым год и более не выполнялось ЧКВ. Отличием этого исследования было 1) использование </w:t>
      </w:r>
      <w:proofErr w:type="spellStart"/>
      <w:r w:rsidRPr="00BB7894">
        <w:rPr>
          <w:color w:val="222122"/>
        </w:rPr>
        <w:t>клопидогрела</w:t>
      </w:r>
      <w:proofErr w:type="spellEnd"/>
      <w:r w:rsidRPr="00BB7894">
        <w:rPr>
          <w:color w:val="222122"/>
        </w:rPr>
        <w:t xml:space="preserve">, а не аспирина в качестве </w:t>
      </w:r>
      <w:proofErr w:type="spellStart"/>
      <w:r w:rsidRPr="00BB7894">
        <w:rPr>
          <w:color w:val="222122"/>
        </w:rPr>
        <w:t>антиагреганта</w:t>
      </w:r>
      <w:proofErr w:type="spellEnd"/>
      <w:r w:rsidRPr="00BB7894">
        <w:rPr>
          <w:color w:val="222122"/>
        </w:rPr>
        <w:t xml:space="preserve"> в группе комбинированной терапии; 2) ЧКВ в анамнезе более года назад.</w:t>
      </w:r>
    </w:p>
    <w:p w14:paraId="2101114B" w14:textId="77777777" w:rsidR="006668CD" w:rsidRPr="00BB7894" w:rsidRDefault="006668CD" w:rsidP="006668CD">
      <w:pPr>
        <w:spacing w:line="360" w:lineRule="auto"/>
        <w:rPr>
          <w:color w:val="222122"/>
        </w:rPr>
      </w:pPr>
      <w:r w:rsidRPr="00BB7894">
        <w:rPr>
          <w:color w:val="222122"/>
        </w:rPr>
        <w:t xml:space="preserve">Исследование многоцентровое </w:t>
      </w:r>
      <w:proofErr w:type="spellStart"/>
      <w:r w:rsidRPr="00BB7894">
        <w:rPr>
          <w:color w:val="222122"/>
        </w:rPr>
        <w:t>рандомизированное</w:t>
      </w:r>
      <w:proofErr w:type="spellEnd"/>
      <w:r w:rsidRPr="00BB7894">
        <w:rPr>
          <w:color w:val="222122"/>
        </w:rPr>
        <w:t xml:space="preserve">, выполненное в Южной Корее. Пациенты с фибрилляцией предсердий, которым не менее года назад был имплантирован </w:t>
      </w:r>
      <w:proofErr w:type="spellStart"/>
      <w:r w:rsidRPr="00BB7894">
        <w:rPr>
          <w:color w:val="222122"/>
        </w:rPr>
        <w:t>стент</w:t>
      </w:r>
      <w:proofErr w:type="spellEnd"/>
      <w:r w:rsidRPr="00BB7894">
        <w:rPr>
          <w:color w:val="222122"/>
        </w:rPr>
        <w:t xml:space="preserve"> с лекарственным покрытием, </w:t>
      </w:r>
      <w:proofErr w:type="spellStart"/>
      <w:r w:rsidRPr="00BB7894">
        <w:rPr>
          <w:color w:val="222122"/>
        </w:rPr>
        <w:t>рандомизировались</w:t>
      </w:r>
      <w:proofErr w:type="spellEnd"/>
      <w:r w:rsidRPr="00BB7894">
        <w:rPr>
          <w:color w:val="222122"/>
        </w:rPr>
        <w:t xml:space="preserve"> в соотношении 1:1 для получения </w:t>
      </w:r>
      <w:proofErr w:type="spellStart"/>
      <w:r w:rsidRPr="00BB7894">
        <w:rPr>
          <w:color w:val="222122"/>
        </w:rPr>
        <w:t>монотерапии</w:t>
      </w:r>
      <w:proofErr w:type="spellEnd"/>
      <w:r w:rsidRPr="00BB7894">
        <w:rPr>
          <w:color w:val="222122"/>
        </w:rPr>
        <w:t xml:space="preserve"> ПОАК или комбинированной терапии (ПОАК плюс </w:t>
      </w:r>
      <w:proofErr w:type="spellStart"/>
      <w:r w:rsidRPr="00BB7894">
        <w:rPr>
          <w:color w:val="222122"/>
        </w:rPr>
        <w:t>клопидогрель</w:t>
      </w:r>
      <w:proofErr w:type="spellEnd"/>
      <w:r w:rsidRPr="00BB7894">
        <w:rPr>
          <w:color w:val="222122"/>
        </w:rPr>
        <w:t xml:space="preserve">). Первичной конечной точкой было количество неблагоприятных клинических событий, включающее смерть от любой причины, инфаркт миокарда, тромбоз </w:t>
      </w:r>
      <w:proofErr w:type="spellStart"/>
      <w:r w:rsidRPr="00BB7894">
        <w:rPr>
          <w:color w:val="222122"/>
        </w:rPr>
        <w:t>стента</w:t>
      </w:r>
      <w:proofErr w:type="spellEnd"/>
      <w:r w:rsidRPr="00BB7894">
        <w:rPr>
          <w:color w:val="222122"/>
        </w:rPr>
        <w:t xml:space="preserve">, инсульт, системную эмболию или большое кровотечение или клинически значимое небольшое кровотечение в течение 12 месяцев. </w:t>
      </w:r>
    </w:p>
    <w:p w14:paraId="41013E64" w14:textId="77777777" w:rsidR="006668CD" w:rsidRPr="00BB7894" w:rsidRDefault="006668CD" w:rsidP="006668CD">
      <w:pPr>
        <w:spacing w:line="360" w:lineRule="auto"/>
        <w:rPr>
          <w:color w:val="222122"/>
        </w:rPr>
      </w:pPr>
      <w:r w:rsidRPr="00BB7894">
        <w:rPr>
          <w:color w:val="222122"/>
        </w:rPr>
        <w:t xml:space="preserve">В общей сложности 960 пациентов прошли рандомизацию: 482 пациента получили </w:t>
      </w:r>
      <w:proofErr w:type="spellStart"/>
      <w:r w:rsidRPr="00BB7894">
        <w:rPr>
          <w:color w:val="222122"/>
        </w:rPr>
        <w:t>монотерапию</w:t>
      </w:r>
      <w:proofErr w:type="spellEnd"/>
      <w:r w:rsidRPr="00BB7894">
        <w:rPr>
          <w:color w:val="222122"/>
        </w:rPr>
        <w:t xml:space="preserve"> и 478 - комбинированную терапию </w:t>
      </w:r>
      <w:proofErr w:type="spellStart"/>
      <w:r w:rsidRPr="00BB7894">
        <w:rPr>
          <w:color w:val="222122"/>
        </w:rPr>
        <w:t>антитромботическими</w:t>
      </w:r>
      <w:proofErr w:type="spellEnd"/>
      <w:r w:rsidRPr="00BB7894">
        <w:rPr>
          <w:color w:val="222122"/>
        </w:rPr>
        <w:t xml:space="preserve"> препаратами. Средний возраст пациентов составил 71,1 года, 21,4% из них были женщинами. </w:t>
      </w:r>
    </w:p>
    <w:p w14:paraId="67C35B7E" w14:textId="77777777" w:rsidR="006668CD" w:rsidRPr="00BB7894" w:rsidRDefault="006668CD" w:rsidP="006668CD">
      <w:pPr>
        <w:spacing w:line="360" w:lineRule="auto"/>
        <w:rPr>
          <w:color w:val="222122"/>
        </w:rPr>
      </w:pPr>
      <w:r w:rsidRPr="00BB7894">
        <w:rPr>
          <w:color w:val="222122"/>
        </w:rPr>
        <w:t xml:space="preserve">Через 12 месяцев первичное конечное событие зафиксировано у 46 пациентов (оценка Каплана–Майера: 9,6%) в группе </w:t>
      </w:r>
      <w:proofErr w:type="spellStart"/>
      <w:r w:rsidRPr="00BB7894">
        <w:rPr>
          <w:color w:val="222122"/>
        </w:rPr>
        <w:t>монотерапии</w:t>
      </w:r>
      <w:proofErr w:type="spellEnd"/>
      <w:r w:rsidRPr="00BB7894">
        <w:rPr>
          <w:color w:val="222122"/>
        </w:rPr>
        <w:t xml:space="preserve"> и у 82 пациентов (оценка Каплана–Майера: 17,2%) в группе комбинированной терапии, с абсолютной разницей -7,6 процентных пункта (95,2% доверительный интервал [ДИ], от –11,9 до –3,3; P &lt; 0,001 для подтверждения не меньшей эффективности) и отношением рисков 0,54 (95,2% ДИ, от 0,37 до 0,77; P &lt; 0,001 для подтверждения превосходства). Большое или клинически значимое кровотечение наблюдалось у 25 пациентов (5,2%) в группе </w:t>
      </w:r>
      <w:proofErr w:type="spellStart"/>
      <w:r w:rsidRPr="00BB7894">
        <w:rPr>
          <w:color w:val="222122"/>
        </w:rPr>
        <w:t>монотерапии</w:t>
      </w:r>
      <w:proofErr w:type="spellEnd"/>
      <w:r w:rsidRPr="00BB7894">
        <w:rPr>
          <w:color w:val="222122"/>
        </w:rPr>
        <w:t xml:space="preserve"> и у 63 пациентов (13,2%) в группе комбинированной терапии (коэффициент рисков 0,38; 95% ДИ, от 0,24 до 0,60). Достоверность была достигнута и при отдельном сравнении частоты больших кровотечений. Частота ни одного из «ишемических» компонентов первичной конечной точки между группами не различалась. </w:t>
      </w:r>
    </w:p>
    <w:p w14:paraId="4C99D075" w14:textId="77777777" w:rsidR="006668CD" w:rsidRPr="00BB7894" w:rsidRDefault="006668CD" w:rsidP="006668CD">
      <w:pPr>
        <w:spacing w:line="360" w:lineRule="auto"/>
        <w:rPr>
          <w:color w:val="222122"/>
        </w:rPr>
      </w:pPr>
      <w:proofErr w:type="spellStart"/>
      <w:r w:rsidRPr="00BB7894">
        <w:rPr>
          <w:color w:val="222122"/>
        </w:rPr>
        <w:lastRenderedPageBreak/>
        <w:t>Т.о</w:t>
      </w:r>
      <w:proofErr w:type="spellEnd"/>
      <w:r w:rsidRPr="00BB7894">
        <w:rPr>
          <w:color w:val="222122"/>
        </w:rPr>
        <w:t xml:space="preserve">., у пациентов с фибрилляцией предсердий, которым не менее года назад была имплантирована </w:t>
      </w:r>
      <w:proofErr w:type="spellStart"/>
      <w:r w:rsidRPr="00BB7894">
        <w:rPr>
          <w:color w:val="222122"/>
        </w:rPr>
        <w:t>стент</w:t>
      </w:r>
      <w:proofErr w:type="spellEnd"/>
      <w:r w:rsidRPr="00BB7894">
        <w:rPr>
          <w:color w:val="222122"/>
        </w:rPr>
        <w:t xml:space="preserve"> с лекарственным покрытием, </w:t>
      </w:r>
      <w:proofErr w:type="spellStart"/>
      <w:r w:rsidRPr="00BB7894">
        <w:rPr>
          <w:color w:val="222122"/>
        </w:rPr>
        <w:t>монотерапия</w:t>
      </w:r>
      <w:proofErr w:type="spellEnd"/>
      <w:r w:rsidRPr="00BB7894">
        <w:rPr>
          <w:color w:val="222122"/>
        </w:rPr>
        <w:t xml:space="preserve"> ПОАК, по меньшей мере, не уступала комбинированной терапии по частоте нежелательных клинических явлений.</w:t>
      </w:r>
    </w:p>
    <w:p w14:paraId="43DEF09F" w14:textId="77777777" w:rsidR="006668CD" w:rsidRPr="00D040B9" w:rsidRDefault="006668CD" w:rsidP="006668CD">
      <w:pPr>
        <w:pStyle w:val="a6"/>
        <w:spacing w:before="0" w:beforeAutospacing="0" w:after="0" w:afterAutospacing="0" w:line="360" w:lineRule="auto"/>
        <w:rPr>
          <w:i/>
          <w:iCs/>
          <w:color w:val="000000" w:themeColor="text1"/>
          <w:lang w:val="en-US"/>
        </w:rPr>
      </w:pPr>
      <w:r w:rsidRPr="00D040B9">
        <w:rPr>
          <w:i/>
          <w:iCs/>
          <w:color w:val="363636"/>
          <w:lang w:val="en-US"/>
        </w:rPr>
        <w:t xml:space="preserve">Lee S-J, Yu HT, Lee Y-J, </w:t>
      </w:r>
      <w:r w:rsidRPr="00D040B9">
        <w:rPr>
          <w:i/>
          <w:iCs/>
          <w:color w:val="000000" w:themeColor="text1"/>
          <w:lang w:val="en-US"/>
        </w:rPr>
        <w:t>et al. </w:t>
      </w:r>
      <w:hyperlink r:id="rId9" w:history="1">
        <w:r w:rsidRPr="00D040B9">
          <w:rPr>
            <w:rStyle w:val="a4"/>
            <w:i/>
            <w:iCs/>
            <w:color w:val="000000" w:themeColor="text1"/>
            <w:lang w:val="en-US"/>
          </w:rPr>
          <w:t>Therapy for atrial fibrillation in patients with drug-eluting stents</w:t>
        </w:r>
      </w:hyperlink>
      <w:r w:rsidRPr="00D040B9">
        <w:rPr>
          <w:i/>
          <w:iCs/>
          <w:color w:val="000000" w:themeColor="text1"/>
          <w:lang w:val="en-US"/>
        </w:rPr>
        <w:t>. </w:t>
      </w:r>
      <w:r w:rsidRPr="00D040B9">
        <w:rPr>
          <w:rStyle w:val="a3"/>
          <w:color w:val="000000" w:themeColor="text1"/>
          <w:lang w:val="en-US"/>
        </w:rPr>
        <w:t xml:space="preserve">N </w:t>
      </w:r>
      <w:proofErr w:type="spellStart"/>
      <w:r w:rsidRPr="00D040B9">
        <w:rPr>
          <w:rStyle w:val="a3"/>
          <w:color w:val="000000" w:themeColor="text1"/>
          <w:lang w:val="en-US"/>
        </w:rPr>
        <w:t>Engl</w:t>
      </w:r>
      <w:proofErr w:type="spellEnd"/>
      <w:r w:rsidRPr="00D040B9">
        <w:rPr>
          <w:rStyle w:val="a3"/>
          <w:color w:val="000000" w:themeColor="text1"/>
          <w:lang w:val="en-US"/>
        </w:rPr>
        <w:t xml:space="preserve"> J Med</w:t>
      </w:r>
      <w:r w:rsidRPr="00D040B9">
        <w:rPr>
          <w:i/>
          <w:iCs/>
          <w:color w:val="000000" w:themeColor="text1"/>
          <w:lang w:val="en-US"/>
        </w:rPr>
        <w:t xml:space="preserve">. </w:t>
      </w:r>
      <w:proofErr w:type="gramStart"/>
      <w:r w:rsidRPr="00D040B9">
        <w:rPr>
          <w:i/>
          <w:iCs/>
          <w:color w:val="000000" w:themeColor="text1"/>
          <w:lang w:val="en-US"/>
        </w:rPr>
        <w:t>2025;Epub</w:t>
      </w:r>
      <w:proofErr w:type="gramEnd"/>
      <w:r w:rsidRPr="00D040B9">
        <w:rPr>
          <w:i/>
          <w:iCs/>
          <w:color w:val="000000" w:themeColor="text1"/>
          <w:lang w:val="en-US"/>
        </w:rPr>
        <w:t xml:space="preserve"> ahead of print.</w:t>
      </w:r>
    </w:p>
    <w:p w14:paraId="5AC1CE9D" w14:textId="77777777" w:rsidR="006668CD" w:rsidRPr="006668CD" w:rsidRDefault="006668CD" w:rsidP="006668CD">
      <w:pPr>
        <w:spacing w:line="360" w:lineRule="auto"/>
        <w:rPr>
          <w:color w:val="131212"/>
          <w:shd w:val="clear" w:color="auto" w:fill="FFFFFF"/>
          <w:lang w:val="en-US"/>
        </w:rPr>
      </w:pPr>
    </w:p>
    <w:p w14:paraId="5820487B" w14:textId="77777777" w:rsidR="006668CD" w:rsidRPr="006668CD" w:rsidRDefault="006668CD" w:rsidP="006668CD">
      <w:pPr>
        <w:spacing w:line="360" w:lineRule="auto"/>
        <w:rPr>
          <w:b/>
          <w:bCs/>
          <w:color w:val="131212"/>
          <w:shd w:val="clear" w:color="auto" w:fill="FFFFFF"/>
          <w:lang w:val="en-US"/>
        </w:rPr>
      </w:pPr>
      <w:r w:rsidRPr="00823E40">
        <w:rPr>
          <w:b/>
          <w:bCs/>
          <w:color w:val="131212"/>
          <w:shd w:val="clear" w:color="auto" w:fill="FFFFFF"/>
          <w:lang w:val="en-US"/>
        </w:rPr>
        <w:t>OCEAN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: </w:t>
      </w:r>
      <w:r w:rsidRPr="00823E40">
        <w:rPr>
          <w:b/>
          <w:bCs/>
          <w:color w:val="131212"/>
          <w:shd w:val="clear" w:color="auto" w:fill="FFFFFF"/>
        </w:rPr>
        <w:t>аспирин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r w:rsidRPr="00823E40">
        <w:rPr>
          <w:b/>
          <w:bCs/>
          <w:color w:val="131212"/>
          <w:shd w:val="clear" w:color="auto" w:fill="FFFFFF"/>
        </w:rPr>
        <w:t>против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proofErr w:type="spellStart"/>
      <w:r w:rsidRPr="00823E40">
        <w:rPr>
          <w:b/>
          <w:bCs/>
          <w:color w:val="131212"/>
          <w:shd w:val="clear" w:color="auto" w:fill="FFFFFF"/>
        </w:rPr>
        <w:t>ривароксабана</w:t>
      </w:r>
      <w:proofErr w:type="spellEnd"/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r w:rsidRPr="00823E40">
        <w:rPr>
          <w:b/>
          <w:bCs/>
          <w:color w:val="131212"/>
          <w:shd w:val="clear" w:color="auto" w:fill="FFFFFF"/>
        </w:rPr>
        <w:t>после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r w:rsidRPr="00823E40">
        <w:rPr>
          <w:b/>
          <w:bCs/>
          <w:color w:val="131212"/>
          <w:shd w:val="clear" w:color="auto" w:fill="FFFFFF"/>
        </w:rPr>
        <w:t>успешной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proofErr w:type="spellStart"/>
      <w:r w:rsidRPr="00823E40">
        <w:rPr>
          <w:b/>
          <w:bCs/>
          <w:color w:val="131212"/>
          <w:shd w:val="clear" w:color="auto" w:fill="FFFFFF"/>
        </w:rPr>
        <w:t>аблации</w:t>
      </w:r>
      <w:proofErr w:type="spellEnd"/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r w:rsidRPr="00823E40">
        <w:rPr>
          <w:b/>
          <w:bCs/>
          <w:color w:val="131212"/>
          <w:shd w:val="clear" w:color="auto" w:fill="FFFFFF"/>
        </w:rPr>
        <w:t>фибрилляции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  <w:r w:rsidRPr="00823E40">
        <w:rPr>
          <w:b/>
          <w:bCs/>
          <w:color w:val="131212"/>
          <w:shd w:val="clear" w:color="auto" w:fill="FFFFFF"/>
        </w:rPr>
        <w:t>предсердий</w:t>
      </w:r>
      <w:r w:rsidRPr="006668CD">
        <w:rPr>
          <w:b/>
          <w:bCs/>
          <w:color w:val="131212"/>
          <w:shd w:val="clear" w:color="auto" w:fill="FFFFFF"/>
          <w:lang w:val="en-US"/>
        </w:rPr>
        <w:t xml:space="preserve"> </w:t>
      </w:r>
    </w:p>
    <w:p w14:paraId="698982A7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>
        <w:rPr>
          <w:color w:val="131212"/>
          <w:shd w:val="clear" w:color="auto" w:fill="FFFFFF"/>
        </w:rPr>
        <w:t>В</w:t>
      </w:r>
      <w:r w:rsidRPr="00823E40">
        <w:rPr>
          <w:color w:val="131212"/>
          <w:shd w:val="clear" w:color="auto" w:fill="FFFFFF"/>
        </w:rPr>
        <w:t xml:space="preserve"> </w:t>
      </w:r>
      <w:r>
        <w:rPr>
          <w:color w:val="131212"/>
          <w:shd w:val="clear" w:color="auto" w:fill="FFFFFF"/>
        </w:rPr>
        <w:t>исследовании</w:t>
      </w:r>
      <w:r w:rsidRPr="00823E40">
        <w:rPr>
          <w:color w:val="131212"/>
          <w:shd w:val="clear" w:color="auto" w:fill="FFFFFF"/>
        </w:rPr>
        <w:t xml:space="preserve"> сравнивалась эффективность и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 xml:space="preserve">безопасность </w:t>
      </w:r>
      <w:proofErr w:type="spellStart"/>
      <w:r w:rsidRPr="00823E40">
        <w:rPr>
          <w:color w:val="131212"/>
          <w:shd w:val="clear" w:color="auto" w:fill="FFFFFF"/>
        </w:rPr>
        <w:t>ривароксабана</w:t>
      </w:r>
      <w:proofErr w:type="spellEnd"/>
      <w:r w:rsidRPr="00823E40">
        <w:rPr>
          <w:color w:val="131212"/>
          <w:shd w:val="clear" w:color="auto" w:fill="FFFFFF"/>
        </w:rPr>
        <w:t xml:space="preserve"> 15 мг и аспирина 70-120 мг у пациентов после успешной</w:t>
      </w:r>
      <w:r>
        <w:rPr>
          <w:color w:val="131212"/>
          <w:shd w:val="clear" w:color="auto" w:fill="FFFFFF"/>
        </w:rPr>
        <w:t xml:space="preserve"> </w:t>
      </w:r>
      <w:proofErr w:type="spellStart"/>
      <w:r w:rsidRPr="00823E40">
        <w:rPr>
          <w:color w:val="131212"/>
          <w:shd w:val="clear" w:color="auto" w:fill="FFFFFF"/>
        </w:rPr>
        <w:t>аблации</w:t>
      </w:r>
      <w:proofErr w:type="spellEnd"/>
      <w:r w:rsidRPr="00823E40">
        <w:rPr>
          <w:color w:val="131212"/>
          <w:shd w:val="clear" w:color="auto" w:fill="FFFFFF"/>
        </w:rPr>
        <w:t xml:space="preserve"> </w:t>
      </w:r>
      <w:proofErr w:type="spellStart"/>
      <w:r w:rsidRPr="00823E40">
        <w:rPr>
          <w:color w:val="131212"/>
          <w:shd w:val="clear" w:color="auto" w:fill="FFFFFF"/>
        </w:rPr>
        <w:t>аритмогенных</w:t>
      </w:r>
      <w:proofErr w:type="spellEnd"/>
      <w:r w:rsidRPr="00823E40">
        <w:rPr>
          <w:color w:val="131212"/>
          <w:shd w:val="clear" w:color="auto" w:fill="FFFFFF"/>
        </w:rPr>
        <w:t xml:space="preserve"> зон в связи с фибрилляцией предсердий.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 xml:space="preserve">Успешной считалась </w:t>
      </w:r>
      <w:proofErr w:type="spellStart"/>
      <w:r w:rsidRPr="00823E40">
        <w:rPr>
          <w:color w:val="131212"/>
          <w:shd w:val="clear" w:color="auto" w:fill="FFFFFF"/>
        </w:rPr>
        <w:t>аблация</w:t>
      </w:r>
      <w:proofErr w:type="spellEnd"/>
      <w:r w:rsidRPr="00823E40">
        <w:rPr>
          <w:color w:val="131212"/>
          <w:shd w:val="clear" w:color="auto" w:fill="FFFFFF"/>
        </w:rPr>
        <w:t xml:space="preserve"> в случае отсутствия рецидивов в течение как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>минимум 12 месяцев. В исследование включено 1284 пациента с наличием факторов риска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>ТЭО (</w:t>
      </w:r>
      <w:r w:rsidRPr="00823E40">
        <w:rPr>
          <w:color w:val="131212"/>
          <w:shd w:val="clear" w:color="auto" w:fill="FFFFFF"/>
          <w:lang w:val="en-US"/>
        </w:rPr>
        <w:t>CHA</w:t>
      </w:r>
      <w:r w:rsidRPr="00823E40">
        <w:rPr>
          <w:color w:val="131212"/>
          <w:shd w:val="clear" w:color="auto" w:fill="FFFFFF"/>
        </w:rPr>
        <w:t xml:space="preserve"> 2 </w:t>
      </w:r>
      <w:r w:rsidRPr="00823E40">
        <w:rPr>
          <w:color w:val="131212"/>
          <w:shd w:val="clear" w:color="auto" w:fill="FFFFFF"/>
          <w:lang w:val="en-US"/>
        </w:rPr>
        <w:t>DS</w:t>
      </w:r>
      <w:r w:rsidRPr="00823E40">
        <w:rPr>
          <w:color w:val="131212"/>
          <w:shd w:val="clear" w:color="auto" w:fill="FFFFFF"/>
        </w:rPr>
        <w:t xml:space="preserve"> 2 -</w:t>
      </w:r>
      <w:r w:rsidRPr="00823E40">
        <w:rPr>
          <w:color w:val="131212"/>
          <w:shd w:val="clear" w:color="auto" w:fill="FFFFFF"/>
          <w:lang w:val="en-US"/>
        </w:rPr>
        <w:t>VASc</w:t>
      </w:r>
      <w:r w:rsidRPr="00823E40">
        <w:rPr>
          <w:color w:val="131212"/>
          <w:shd w:val="clear" w:color="auto" w:fill="FFFFFF"/>
        </w:rPr>
        <w:t xml:space="preserve"> 1 или ≥2 у женщин или в том случае, если одним из факторов риска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>является сосудистая патология). Пациенты наблюдались в течение 3 лет. Первичная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>конечная точка – комбинация инсульта, системной эмболии и нового инфаркта головного</w:t>
      </w:r>
      <w:r>
        <w:rPr>
          <w:color w:val="131212"/>
          <w:shd w:val="clear" w:color="auto" w:fill="FFFFFF"/>
        </w:rPr>
        <w:t xml:space="preserve"> </w:t>
      </w:r>
      <w:r w:rsidRPr="00823E40">
        <w:rPr>
          <w:color w:val="131212"/>
          <w:shd w:val="clear" w:color="auto" w:fill="FFFFFF"/>
        </w:rPr>
        <w:t>мозга с размерами очага ≥15 мм (МРТ выполнялось исходно и через 3 года).</w:t>
      </w:r>
    </w:p>
    <w:p w14:paraId="5B66370E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Средний </w:t>
      </w:r>
      <w:r w:rsidRPr="00823E40">
        <w:rPr>
          <w:color w:val="131212"/>
          <w:shd w:val="clear" w:color="auto" w:fill="FFFFFF"/>
          <w:lang w:val="en-US"/>
        </w:rPr>
        <w:t>CHA</w:t>
      </w:r>
      <w:r w:rsidRPr="00823E40">
        <w:rPr>
          <w:color w:val="131212"/>
          <w:shd w:val="clear" w:color="auto" w:fill="FFFFFF"/>
        </w:rPr>
        <w:t>2</w:t>
      </w:r>
      <w:r w:rsidRPr="00823E40">
        <w:rPr>
          <w:color w:val="131212"/>
          <w:shd w:val="clear" w:color="auto" w:fill="FFFFFF"/>
          <w:lang w:val="en-US"/>
        </w:rPr>
        <w:t>DS</w:t>
      </w:r>
      <w:r w:rsidRPr="00823E40">
        <w:rPr>
          <w:color w:val="131212"/>
          <w:shd w:val="clear" w:color="auto" w:fill="FFFFFF"/>
        </w:rPr>
        <w:t>2 -</w:t>
      </w:r>
      <w:r w:rsidRPr="00823E40">
        <w:rPr>
          <w:color w:val="131212"/>
          <w:shd w:val="clear" w:color="auto" w:fill="FFFFFF"/>
          <w:lang w:val="en-US"/>
        </w:rPr>
        <w:t>VASc</w:t>
      </w:r>
      <w:r w:rsidRPr="00823E40">
        <w:rPr>
          <w:color w:val="131212"/>
          <w:shd w:val="clear" w:color="auto" w:fill="FFFFFF"/>
        </w:rPr>
        <w:t xml:space="preserve"> в этом исследовании был невысок и составил 2,2 балла, 2/3</w:t>
      </w:r>
    </w:p>
    <w:p w14:paraId="7B5AED9F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пациентов до </w:t>
      </w:r>
      <w:proofErr w:type="spellStart"/>
      <w:r w:rsidRPr="00823E40">
        <w:rPr>
          <w:color w:val="131212"/>
          <w:shd w:val="clear" w:color="auto" w:fill="FFFFFF"/>
        </w:rPr>
        <w:t>аблации</w:t>
      </w:r>
      <w:proofErr w:type="spellEnd"/>
      <w:r w:rsidRPr="00823E40">
        <w:rPr>
          <w:color w:val="131212"/>
          <w:shd w:val="clear" w:color="auto" w:fill="FFFFFF"/>
        </w:rPr>
        <w:t xml:space="preserve"> страдали пароксизмальной формой ФП. Медиана времени от</w:t>
      </w:r>
    </w:p>
    <w:p w14:paraId="6A5AEF49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proofErr w:type="spellStart"/>
      <w:r w:rsidRPr="00823E40">
        <w:rPr>
          <w:color w:val="131212"/>
          <w:shd w:val="clear" w:color="auto" w:fill="FFFFFF"/>
        </w:rPr>
        <w:t>аблации</w:t>
      </w:r>
      <w:proofErr w:type="spellEnd"/>
      <w:r w:rsidRPr="00823E40">
        <w:rPr>
          <w:color w:val="131212"/>
          <w:shd w:val="clear" w:color="auto" w:fill="FFFFFF"/>
        </w:rPr>
        <w:t xml:space="preserve"> на момент рандомизации составила 16,4 мес.</w:t>
      </w:r>
    </w:p>
    <w:p w14:paraId="3D9AAD8B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В группе </w:t>
      </w:r>
      <w:proofErr w:type="spellStart"/>
      <w:r w:rsidRPr="00823E40">
        <w:rPr>
          <w:color w:val="131212"/>
          <w:shd w:val="clear" w:color="auto" w:fill="FFFFFF"/>
        </w:rPr>
        <w:t>ривароксабана</w:t>
      </w:r>
      <w:proofErr w:type="spellEnd"/>
      <w:r w:rsidRPr="00823E40">
        <w:rPr>
          <w:color w:val="131212"/>
          <w:shd w:val="clear" w:color="auto" w:fill="FFFFFF"/>
        </w:rPr>
        <w:t xml:space="preserve"> первичная конечная точка была зафиксирована у 5 пациентов</w:t>
      </w:r>
    </w:p>
    <w:p w14:paraId="72008828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(0.31 события на 100 </w:t>
      </w:r>
      <w:proofErr w:type="spellStart"/>
      <w:r w:rsidRPr="00823E40">
        <w:rPr>
          <w:color w:val="131212"/>
          <w:shd w:val="clear" w:color="auto" w:fill="FFFFFF"/>
        </w:rPr>
        <w:t>пациенто</w:t>
      </w:r>
      <w:proofErr w:type="spellEnd"/>
      <w:r w:rsidRPr="00823E40">
        <w:rPr>
          <w:color w:val="131212"/>
          <w:shd w:val="clear" w:color="auto" w:fill="FFFFFF"/>
        </w:rPr>
        <w:t>-лет), в группе аспирина – у 9 пациентов (0.66 событий на</w:t>
      </w:r>
    </w:p>
    <w:p w14:paraId="19745E7E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100 </w:t>
      </w:r>
      <w:proofErr w:type="spellStart"/>
      <w:r w:rsidRPr="00823E40">
        <w:rPr>
          <w:color w:val="131212"/>
          <w:shd w:val="clear" w:color="auto" w:fill="FFFFFF"/>
        </w:rPr>
        <w:t>пациенто</w:t>
      </w:r>
      <w:proofErr w:type="spellEnd"/>
      <w:r w:rsidRPr="00823E40">
        <w:rPr>
          <w:color w:val="131212"/>
          <w:shd w:val="clear" w:color="auto" w:fill="FFFFFF"/>
        </w:rPr>
        <w:t>-лет) (относительный риск 0.56; 95% ДИ 0.19 - 1.65; абсолютные различия за</w:t>
      </w:r>
    </w:p>
    <w:p w14:paraId="2059DA46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3 года −0.6 процента; </w:t>
      </w:r>
      <w:r w:rsidRPr="00823E40">
        <w:rPr>
          <w:color w:val="131212"/>
          <w:shd w:val="clear" w:color="auto" w:fill="FFFFFF"/>
          <w:lang w:val="en-US"/>
        </w:rPr>
        <w:t>P</w:t>
      </w:r>
      <w:r w:rsidRPr="00823E40">
        <w:rPr>
          <w:color w:val="131212"/>
          <w:shd w:val="clear" w:color="auto" w:fill="FFFFFF"/>
        </w:rPr>
        <w:t>=0.28). Фатальное или большое кровотечение развилось у 10</w:t>
      </w:r>
    </w:p>
    <w:p w14:paraId="32176262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пациентов группы </w:t>
      </w:r>
      <w:proofErr w:type="spellStart"/>
      <w:r w:rsidRPr="00823E40">
        <w:rPr>
          <w:color w:val="131212"/>
          <w:shd w:val="clear" w:color="auto" w:fill="FFFFFF"/>
        </w:rPr>
        <w:t>ривароксабана</w:t>
      </w:r>
      <w:proofErr w:type="spellEnd"/>
      <w:r w:rsidRPr="00823E40">
        <w:rPr>
          <w:color w:val="131212"/>
          <w:shd w:val="clear" w:color="auto" w:fill="FFFFFF"/>
        </w:rPr>
        <w:t xml:space="preserve"> (1.6%) и у 4 пациентов группы аспирина (0.6%) (ОШ</w:t>
      </w:r>
    </w:p>
    <w:p w14:paraId="462610DC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>2.51; 95% ДИ 0.79 - 7.95).</w:t>
      </w:r>
    </w:p>
    <w:p w14:paraId="3D6197CC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proofErr w:type="spellStart"/>
      <w:r w:rsidRPr="00823E40">
        <w:rPr>
          <w:color w:val="131212"/>
          <w:shd w:val="clear" w:color="auto" w:fill="FFFFFF"/>
        </w:rPr>
        <w:t>Т.о</w:t>
      </w:r>
      <w:proofErr w:type="spellEnd"/>
      <w:r w:rsidRPr="00823E40">
        <w:rPr>
          <w:color w:val="131212"/>
          <w:shd w:val="clear" w:color="auto" w:fill="FFFFFF"/>
        </w:rPr>
        <w:t xml:space="preserve">., авторы заключают, что у пациентов с эффективной </w:t>
      </w:r>
      <w:proofErr w:type="spellStart"/>
      <w:r w:rsidRPr="00823E40">
        <w:rPr>
          <w:color w:val="131212"/>
          <w:shd w:val="clear" w:color="auto" w:fill="FFFFFF"/>
        </w:rPr>
        <w:t>аблацией</w:t>
      </w:r>
      <w:proofErr w:type="spellEnd"/>
      <w:r w:rsidRPr="00823E40">
        <w:rPr>
          <w:color w:val="131212"/>
          <w:shd w:val="clear" w:color="auto" w:fill="FFFFFF"/>
        </w:rPr>
        <w:t xml:space="preserve"> по поводу ФП не менее</w:t>
      </w:r>
    </w:p>
    <w:p w14:paraId="640938B6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 xml:space="preserve">года назад терапия </w:t>
      </w:r>
      <w:proofErr w:type="spellStart"/>
      <w:r w:rsidRPr="00823E40">
        <w:rPr>
          <w:color w:val="131212"/>
          <w:shd w:val="clear" w:color="auto" w:fill="FFFFFF"/>
        </w:rPr>
        <w:t>ривароксабаном</w:t>
      </w:r>
      <w:proofErr w:type="spellEnd"/>
      <w:r w:rsidRPr="00823E40">
        <w:rPr>
          <w:color w:val="131212"/>
          <w:shd w:val="clear" w:color="auto" w:fill="FFFFFF"/>
        </w:rPr>
        <w:t xml:space="preserve"> не приносит дополнительных преимуществ по</w:t>
      </w:r>
    </w:p>
    <w:p w14:paraId="50D18285" w14:textId="77777777" w:rsidR="006668CD" w:rsidRPr="00823E40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823E40">
        <w:rPr>
          <w:color w:val="131212"/>
          <w:shd w:val="clear" w:color="auto" w:fill="FFFFFF"/>
        </w:rPr>
        <w:t>сравнению с аспирином.</w:t>
      </w:r>
    </w:p>
    <w:p w14:paraId="10891172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t xml:space="preserve">(Прим. переводчика: как в ранее опубликованном близком исследовании </w:t>
      </w:r>
      <w:r w:rsidRPr="00823E40">
        <w:rPr>
          <w:i/>
          <w:iCs/>
          <w:color w:val="131212"/>
          <w:shd w:val="clear" w:color="auto" w:fill="FFFFFF"/>
          <w:lang w:val="en-US"/>
        </w:rPr>
        <w:t>ALONE</w:t>
      </w:r>
      <w:r w:rsidRPr="00823E40">
        <w:rPr>
          <w:i/>
          <w:iCs/>
          <w:color w:val="131212"/>
          <w:shd w:val="clear" w:color="auto" w:fill="FFFFFF"/>
        </w:rPr>
        <w:t>-</w:t>
      </w:r>
      <w:r w:rsidRPr="00823E40">
        <w:rPr>
          <w:i/>
          <w:iCs/>
          <w:color w:val="131212"/>
          <w:shd w:val="clear" w:color="auto" w:fill="FFFFFF"/>
          <w:lang w:val="en-US"/>
        </w:rPr>
        <w:t>AF</w:t>
      </w:r>
      <w:r w:rsidRPr="00823E40">
        <w:rPr>
          <w:i/>
          <w:iCs/>
          <w:color w:val="131212"/>
          <w:shd w:val="clear" w:color="auto" w:fill="FFFFFF"/>
        </w:rPr>
        <w:t>,</w:t>
      </w:r>
    </w:p>
    <w:p w14:paraId="756EEFD1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t>включенные пациенты характеризовались низким риском инсульта, при небольшой</w:t>
      </w:r>
    </w:p>
    <w:p w14:paraId="3BF327FA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t>абсолютной частоте инсульта отмечалась тенденция к большей эффективности</w:t>
      </w:r>
    </w:p>
    <w:p w14:paraId="7A516FD1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t>антикоагулянта при небольшой мощности исследования; не исключено, что при более</w:t>
      </w:r>
    </w:p>
    <w:p w14:paraId="213BA881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t>мощном исследовании или при мета-анализе текущих исследований будет</w:t>
      </w:r>
    </w:p>
    <w:p w14:paraId="08BC0ED8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</w:rPr>
      </w:pPr>
      <w:r w:rsidRPr="00823E40">
        <w:rPr>
          <w:i/>
          <w:iCs/>
          <w:color w:val="131212"/>
          <w:shd w:val="clear" w:color="auto" w:fill="FFFFFF"/>
        </w:rPr>
        <w:lastRenderedPageBreak/>
        <w:t>продемонстрирована большая эффективность антикоагулянта).</w:t>
      </w:r>
    </w:p>
    <w:p w14:paraId="31922DDD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  <w:lang w:val="en-US"/>
        </w:rPr>
      </w:pPr>
      <w:r w:rsidRPr="00823E40">
        <w:rPr>
          <w:i/>
          <w:iCs/>
          <w:color w:val="131212"/>
          <w:shd w:val="clear" w:color="auto" w:fill="FFFFFF"/>
          <w:lang w:val="en-US"/>
        </w:rPr>
        <w:t>Verma</w:t>
      </w:r>
      <w:r w:rsidRPr="006668CD">
        <w:rPr>
          <w:i/>
          <w:iCs/>
          <w:color w:val="131212"/>
          <w:shd w:val="clear" w:color="auto" w:fill="FFFFFF"/>
        </w:rPr>
        <w:t xml:space="preserve"> </w:t>
      </w:r>
      <w:r w:rsidRPr="00823E40">
        <w:rPr>
          <w:i/>
          <w:iCs/>
          <w:color w:val="131212"/>
          <w:shd w:val="clear" w:color="auto" w:fill="FFFFFF"/>
          <w:lang w:val="en-US"/>
        </w:rPr>
        <w:t>A</w:t>
      </w:r>
      <w:r w:rsidRPr="006668CD">
        <w:rPr>
          <w:i/>
          <w:iCs/>
          <w:color w:val="131212"/>
          <w:shd w:val="clear" w:color="auto" w:fill="FFFFFF"/>
        </w:rPr>
        <w:t xml:space="preserve">, </w:t>
      </w:r>
      <w:proofErr w:type="spellStart"/>
      <w:r w:rsidRPr="00823E40">
        <w:rPr>
          <w:i/>
          <w:iCs/>
          <w:color w:val="131212"/>
          <w:shd w:val="clear" w:color="auto" w:fill="FFFFFF"/>
          <w:lang w:val="en-US"/>
        </w:rPr>
        <w:t>Birnie</w:t>
      </w:r>
      <w:proofErr w:type="spellEnd"/>
      <w:r w:rsidRPr="006668CD">
        <w:rPr>
          <w:i/>
          <w:iCs/>
          <w:color w:val="131212"/>
          <w:shd w:val="clear" w:color="auto" w:fill="FFFFFF"/>
        </w:rPr>
        <w:t xml:space="preserve"> </w:t>
      </w:r>
      <w:r w:rsidRPr="00823E40">
        <w:rPr>
          <w:i/>
          <w:iCs/>
          <w:color w:val="131212"/>
          <w:shd w:val="clear" w:color="auto" w:fill="FFFFFF"/>
          <w:lang w:val="en-US"/>
        </w:rPr>
        <w:t>DH</w:t>
      </w:r>
      <w:r w:rsidRPr="006668CD">
        <w:rPr>
          <w:i/>
          <w:iCs/>
          <w:color w:val="131212"/>
          <w:shd w:val="clear" w:color="auto" w:fill="FFFFFF"/>
        </w:rPr>
        <w:t xml:space="preserve">, </w:t>
      </w:r>
      <w:r w:rsidRPr="00823E40">
        <w:rPr>
          <w:i/>
          <w:iCs/>
          <w:color w:val="131212"/>
          <w:shd w:val="clear" w:color="auto" w:fill="FFFFFF"/>
          <w:lang w:val="en-US"/>
        </w:rPr>
        <w:t>Jiang</w:t>
      </w:r>
      <w:r w:rsidRPr="006668CD">
        <w:rPr>
          <w:i/>
          <w:iCs/>
          <w:color w:val="131212"/>
          <w:shd w:val="clear" w:color="auto" w:fill="FFFFFF"/>
        </w:rPr>
        <w:t xml:space="preserve"> </w:t>
      </w:r>
      <w:r w:rsidRPr="00823E40">
        <w:rPr>
          <w:i/>
          <w:iCs/>
          <w:color w:val="131212"/>
          <w:shd w:val="clear" w:color="auto" w:fill="FFFFFF"/>
          <w:lang w:val="en-US"/>
        </w:rPr>
        <w:t>C</w:t>
      </w:r>
      <w:r w:rsidRPr="006668CD">
        <w:rPr>
          <w:i/>
          <w:iCs/>
          <w:color w:val="131212"/>
          <w:shd w:val="clear" w:color="auto" w:fill="FFFFFF"/>
        </w:rPr>
        <w:t xml:space="preserve">, </w:t>
      </w:r>
      <w:r w:rsidRPr="00823E40">
        <w:rPr>
          <w:i/>
          <w:iCs/>
          <w:color w:val="131212"/>
          <w:shd w:val="clear" w:color="auto" w:fill="FFFFFF"/>
          <w:lang w:val="en-US"/>
        </w:rPr>
        <w:t>et</w:t>
      </w:r>
      <w:r w:rsidRPr="006668CD">
        <w:rPr>
          <w:i/>
          <w:iCs/>
          <w:color w:val="131212"/>
          <w:shd w:val="clear" w:color="auto" w:fill="FFFFFF"/>
        </w:rPr>
        <w:t xml:space="preserve"> </w:t>
      </w:r>
      <w:r w:rsidRPr="00823E40">
        <w:rPr>
          <w:i/>
          <w:iCs/>
          <w:color w:val="131212"/>
          <w:shd w:val="clear" w:color="auto" w:fill="FFFFFF"/>
          <w:lang w:val="en-US"/>
        </w:rPr>
        <w:t>al</w:t>
      </w:r>
      <w:r w:rsidRPr="006668CD">
        <w:rPr>
          <w:i/>
          <w:iCs/>
          <w:color w:val="131212"/>
          <w:shd w:val="clear" w:color="auto" w:fill="FFFFFF"/>
        </w:rPr>
        <w:t>.</w:t>
      </w:r>
      <w:r w:rsidRPr="00823E40">
        <w:rPr>
          <w:i/>
          <w:iCs/>
          <w:color w:val="131212"/>
          <w:shd w:val="clear" w:color="auto" w:fill="FFFFFF"/>
          <w:lang w:val="en-US"/>
        </w:rPr>
        <w:t> Antithrombotic therapy after successful catheter ablation for</w:t>
      </w:r>
    </w:p>
    <w:p w14:paraId="4FF6565E" w14:textId="77777777" w:rsidR="006668CD" w:rsidRPr="00823E40" w:rsidRDefault="006668CD" w:rsidP="006668CD">
      <w:pPr>
        <w:spacing w:line="360" w:lineRule="auto"/>
        <w:rPr>
          <w:i/>
          <w:iCs/>
          <w:color w:val="131212"/>
          <w:shd w:val="clear" w:color="auto" w:fill="FFFFFF"/>
          <w:lang w:val="en-US"/>
        </w:rPr>
      </w:pPr>
      <w:r w:rsidRPr="00823E40">
        <w:rPr>
          <w:i/>
          <w:iCs/>
          <w:color w:val="131212"/>
          <w:shd w:val="clear" w:color="auto" w:fill="FFFFFF"/>
          <w:lang w:val="en-US"/>
        </w:rPr>
        <w:t xml:space="preserve">atrial fibrillation. N </w:t>
      </w:r>
      <w:proofErr w:type="spellStart"/>
      <w:r w:rsidRPr="00823E40">
        <w:rPr>
          <w:i/>
          <w:iCs/>
          <w:color w:val="131212"/>
          <w:shd w:val="clear" w:color="auto" w:fill="FFFFFF"/>
          <w:lang w:val="en-US"/>
        </w:rPr>
        <w:t>Engl</w:t>
      </w:r>
      <w:proofErr w:type="spellEnd"/>
      <w:r w:rsidRPr="00823E40">
        <w:rPr>
          <w:i/>
          <w:iCs/>
          <w:color w:val="131212"/>
          <w:shd w:val="clear" w:color="auto" w:fill="FFFFFF"/>
          <w:lang w:val="en-US"/>
        </w:rPr>
        <w:t xml:space="preserve"> J Med. </w:t>
      </w:r>
      <w:proofErr w:type="gramStart"/>
      <w:r w:rsidRPr="00823E40">
        <w:rPr>
          <w:i/>
          <w:iCs/>
          <w:color w:val="131212"/>
          <w:shd w:val="clear" w:color="auto" w:fill="FFFFFF"/>
          <w:lang w:val="en-US"/>
        </w:rPr>
        <w:t>2025;Epub</w:t>
      </w:r>
      <w:proofErr w:type="gramEnd"/>
      <w:r w:rsidRPr="00823E40">
        <w:rPr>
          <w:i/>
          <w:iCs/>
          <w:color w:val="131212"/>
          <w:shd w:val="clear" w:color="auto" w:fill="FFFFFF"/>
          <w:lang w:val="en-US"/>
        </w:rPr>
        <w:t xml:space="preserve"> ahead of print.</w:t>
      </w:r>
    </w:p>
    <w:p w14:paraId="385C413F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  <w:lang w:val="en-US"/>
        </w:rPr>
      </w:pPr>
    </w:p>
    <w:p w14:paraId="463FD358" w14:textId="77777777" w:rsidR="006668CD" w:rsidRPr="00256461" w:rsidRDefault="006668CD" w:rsidP="006668CD">
      <w:pPr>
        <w:spacing w:line="360" w:lineRule="auto"/>
        <w:rPr>
          <w:b/>
          <w:bCs/>
          <w:color w:val="131212"/>
          <w:shd w:val="clear" w:color="auto" w:fill="FFFFFF"/>
        </w:rPr>
      </w:pPr>
      <w:r w:rsidRPr="00256461">
        <w:rPr>
          <w:b/>
          <w:bCs/>
          <w:color w:val="131212"/>
          <w:shd w:val="clear" w:color="auto" w:fill="FFFFFF"/>
          <w:lang w:val="en-US"/>
        </w:rPr>
        <w:t>CLOSURE</w:t>
      </w:r>
      <w:r w:rsidRPr="00256461">
        <w:rPr>
          <w:b/>
          <w:bCs/>
          <w:color w:val="131212"/>
          <w:shd w:val="clear" w:color="auto" w:fill="FFFFFF"/>
        </w:rPr>
        <w:t>-</w:t>
      </w:r>
      <w:r w:rsidRPr="00256461">
        <w:rPr>
          <w:b/>
          <w:bCs/>
          <w:color w:val="131212"/>
          <w:shd w:val="clear" w:color="auto" w:fill="FFFFFF"/>
          <w:lang w:val="en-US"/>
        </w:rPr>
        <w:t>AF</w:t>
      </w:r>
      <w:r w:rsidRPr="00256461">
        <w:rPr>
          <w:b/>
          <w:bCs/>
          <w:color w:val="131212"/>
          <w:shd w:val="clear" w:color="auto" w:fill="FFFFFF"/>
        </w:rPr>
        <w:t xml:space="preserve">: </w:t>
      </w:r>
      <w:proofErr w:type="spellStart"/>
      <w:r w:rsidRPr="00256461">
        <w:rPr>
          <w:b/>
          <w:bCs/>
          <w:color w:val="131212"/>
          <w:shd w:val="clear" w:color="auto" w:fill="FFFFFF"/>
        </w:rPr>
        <w:t>окклюдер</w:t>
      </w:r>
      <w:proofErr w:type="spellEnd"/>
      <w:r w:rsidRPr="00256461">
        <w:rPr>
          <w:b/>
          <w:bCs/>
          <w:color w:val="131212"/>
          <w:shd w:val="clear" w:color="auto" w:fill="FFFFFF"/>
        </w:rPr>
        <w:t xml:space="preserve"> в ушко левого предсердия или стандартная терапия у пациентов с высоким риском ТЭО и кровотечений</w:t>
      </w:r>
    </w:p>
    <w:p w14:paraId="199BBF6C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В исследование </w:t>
      </w:r>
      <w:r w:rsidRPr="00256461">
        <w:rPr>
          <w:color w:val="131212"/>
          <w:shd w:val="clear" w:color="auto" w:fill="FFFFFF"/>
          <w:lang w:val="en-US"/>
        </w:rPr>
        <w:t>CLOSURE</w:t>
      </w:r>
      <w:r w:rsidRPr="00256461">
        <w:rPr>
          <w:color w:val="131212"/>
          <w:shd w:val="clear" w:color="auto" w:fill="FFFFFF"/>
        </w:rPr>
        <w:t>-</w:t>
      </w:r>
      <w:r w:rsidRPr="00256461">
        <w:rPr>
          <w:color w:val="131212"/>
          <w:shd w:val="clear" w:color="auto" w:fill="FFFFFF"/>
          <w:lang w:val="en-US"/>
        </w:rPr>
        <w:t>AF</w:t>
      </w:r>
      <w:r w:rsidRPr="00256461">
        <w:rPr>
          <w:color w:val="131212"/>
          <w:shd w:val="clear" w:color="auto" w:fill="FFFFFF"/>
        </w:rPr>
        <w:t xml:space="preserve"> было включено 912 пациентов (медиана возраста 79,1 лет; 38,6% женщин) из 42 медицинских центров в Германии. У всех пациентов был высокий риск инсульта (оценка по шкале </w:t>
      </w:r>
      <w:r w:rsidRPr="00256461">
        <w:rPr>
          <w:color w:val="131212"/>
          <w:shd w:val="clear" w:color="auto" w:fill="FFFFFF"/>
          <w:lang w:val="en-US"/>
        </w:rPr>
        <w:t>CHA</w:t>
      </w:r>
      <w:r w:rsidRPr="00256461">
        <w:rPr>
          <w:color w:val="131212"/>
          <w:shd w:val="clear" w:color="auto" w:fill="FFFFFF"/>
        </w:rPr>
        <w:t>2</w:t>
      </w:r>
      <w:r w:rsidRPr="00256461">
        <w:rPr>
          <w:color w:val="131212"/>
          <w:shd w:val="clear" w:color="auto" w:fill="FFFFFF"/>
          <w:lang w:val="en-US"/>
        </w:rPr>
        <w:t>DS</w:t>
      </w:r>
      <w:r w:rsidRPr="00256461">
        <w:rPr>
          <w:color w:val="131212"/>
          <w:shd w:val="clear" w:color="auto" w:fill="FFFFFF"/>
        </w:rPr>
        <w:t>2-</w:t>
      </w:r>
      <w:r w:rsidRPr="00256461">
        <w:rPr>
          <w:color w:val="131212"/>
          <w:shd w:val="clear" w:color="auto" w:fill="FFFFFF"/>
          <w:lang w:val="en-US"/>
        </w:rPr>
        <w:t>VASc</w:t>
      </w:r>
      <w:r w:rsidRPr="00256461">
        <w:rPr>
          <w:color w:val="131212"/>
          <w:shd w:val="clear" w:color="auto" w:fill="FFFFFF"/>
        </w:rPr>
        <w:t xml:space="preserve"> ≥ 2) и повышенный риск кровотечения (оценка по шкале </w:t>
      </w:r>
      <w:r w:rsidRPr="00256461">
        <w:rPr>
          <w:color w:val="131212"/>
          <w:shd w:val="clear" w:color="auto" w:fill="FFFFFF"/>
          <w:lang w:val="en-US"/>
        </w:rPr>
        <w:t>HAS</w:t>
      </w:r>
      <w:r w:rsidRPr="00256461">
        <w:rPr>
          <w:color w:val="131212"/>
          <w:shd w:val="clear" w:color="auto" w:fill="FFFFFF"/>
        </w:rPr>
        <w:t>-</w:t>
      </w:r>
      <w:r w:rsidRPr="00256461">
        <w:rPr>
          <w:color w:val="131212"/>
          <w:shd w:val="clear" w:color="auto" w:fill="FFFFFF"/>
          <w:lang w:val="en-US"/>
        </w:rPr>
        <w:t>BLED</w:t>
      </w:r>
      <w:r w:rsidRPr="00256461">
        <w:rPr>
          <w:color w:val="131212"/>
          <w:shd w:val="clear" w:color="auto" w:fill="FFFFFF"/>
        </w:rPr>
        <w:t xml:space="preserve"> ≥ 3, кровотечение в анамнезе или ХБП 4 </w:t>
      </w:r>
      <w:proofErr w:type="gramStart"/>
      <w:r w:rsidRPr="00256461">
        <w:rPr>
          <w:color w:val="131212"/>
          <w:shd w:val="clear" w:color="auto" w:fill="FFFFFF"/>
        </w:rPr>
        <w:t xml:space="preserve">-  </w:t>
      </w:r>
      <w:proofErr w:type="spellStart"/>
      <w:r w:rsidRPr="00256461">
        <w:rPr>
          <w:color w:val="131212"/>
          <w:shd w:val="clear" w:color="auto" w:fill="FFFFFF"/>
        </w:rPr>
        <w:t>рСКФ</w:t>
      </w:r>
      <w:proofErr w:type="spellEnd"/>
      <w:proofErr w:type="gramEnd"/>
      <w:r w:rsidRPr="00256461">
        <w:rPr>
          <w:color w:val="131212"/>
          <w:shd w:val="clear" w:color="auto" w:fill="FFFFFF"/>
        </w:rPr>
        <w:t xml:space="preserve"> 15-29 мл/мин/1,73 м²). Средние баллы по шкале </w:t>
      </w:r>
      <w:r w:rsidRPr="00256461">
        <w:rPr>
          <w:color w:val="131212"/>
          <w:shd w:val="clear" w:color="auto" w:fill="FFFFFF"/>
          <w:lang w:val="en-US"/>
        </w:rPr>
        <w:t>CHA</w:t>
      </w:r>
      <w:r w:rsidRPr="00256461">
        <w:rPr>
          <w:color w:val="131212"/>
          <w:shd w:val="clear" w:color="auto" w:fill="FFFFFF"/>
        </w:rPr>
        <w:t>2</w:t>
      </w:r>
      <w:r w:rsidRPr="00256461">
        <w:rPr>
          <w:color w:val="131212"/>
          <w:shd w:val="clear" w:color="auto" w:fill="FFFFFF"/>
          <w:lang w:val="en-US"/>
        </w:rPr>
        <w:t>DS</w:t>
      </w:r>
      <w:r w:rsidRPr="00256461">
        <w:rPr>
          <w:color w:val="131212"/>
          <w:shd w:val="clear" w:color="auto" w:fill="FFFFFF"/>
        </w:rPr>
        <w:t>2-</w:t>
      </w:r>
      <w:r w:rsidRPr="00256461">
        <w:rPr>
          <w:color w:val="131212"/>
          <w:shd w:val="clear" w:color="auto" w:fill="FFFFFF"/>
          <w:lang w:val="en-US"/>
        </w:rPr>
        <w:t>VASc</w:t>
      </w:r>
      <w:r w:rsidRPr="00256461">
        <w:rPr>
          <w:color w:val="131212"/>
          <w:shd w:val="clear" w:color="auto" w:fill="FFFFFF"/>
        </w:rPr>
        <w:t xml:space="preserve"> составили 5,2, а по шкале </w:t>
      </w:r>
      <w:r w:rsidRPr="00256461">
        <w:rPr>
          <w:color w:val="131212"/>
          <w:shd w:val="clear" w:color="auto" w:fill="FFFFFF"/>
          <w:lang w:val="en-US"/>
        </w:rPr>
        <w:t>HAS</w:t>
      </w:r>
      <w:r w:rsidRPr="00256461">
        <w:rPr>
          <w:color w:val="131212"/>
          <w:shd w:val="clear" w:color="auto" w:fill="FFFFFF"/>
        </w:rPr>
        <w:t>-</w:t>
      </w:r>
      <w:r w:rsidRPr="00256461">
        <w:rPr>
          <w:color w:val="131212"/>
          <w:shd w:val="clear" w:color="auto" w:fill="FFFFFF"/>
          <w:lang w:val="en-US"/>
        </w:rPr>
        <w:t>BLED</w:t>
      </w:r>
      <w:r w:rsidRPr="00256461">
        <w:rPr>
          <w:color w:val="131212"/>
          <w:shd w:val="clear" w:color="auto" w:fill="FFFFFF"/>
        </w:rPr>
        <w:t xml:space="preserve"> — 3,0.</w:t>
      </w:r>
    </w:p>
    <w:p w14:paraId="070B4DA8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Участники </w:t>
      </w:r>
      <w:proofErr w:type="spellStart"/>
      <w:r w:rsidRPr="00256461">
        <w:rPr>
          <w:color w:val="131212"/>
          <w:shd w:val="clear" w:color="auto" w:fill="FFFFFF"/>
        </w:rPr>
        <w:t>рандомизировались</w:t>
      </w:r>
      <w:proofErr w:type="spellEnd"/>
      <w:r w:rsidRPr="00256461">
        <w:rPr>
          <w:color w:val="131212"/>
          <w:shd w:val="clear" w:color="auto" w:fill="FFFFFF"/>
        </w:rPr>
        <w:t xml:space="preserve"> в группу </w:t>
      </w:r>
      <w:proofErr w:type="spellStart"/>
      <w:r w:rsidRPr="00256461">
        <w:rPr>
          <w:color w:val="131212"/>
          <w:shd w:val="clear" w:color="auto" w:fill="FFFFFF"/>
        </w:rPr>
        <w:t>окклюдера</w:t>
      </w:r>
      <w:proofErr w:type="spellEnd"/>
      <w:r w:rsidRPr="00256461">
        <w:rPr>
          <w:color w:val="131212"/>
          <w:shd w:val="clear" w:color="auto" w:fill="FFFFFF"/>
        </w:rPr>
        <w:t xml:space="preserve"> (в основном </w:t>
      </w:r>
      <w:proofErr w:type="spellStart"/>
      <w:r w:rsidRPr="00256461">
        <w:rPr>
          <w:color w:val="131212"/>
          <w:shd w:val="clear" w:color="auto" w:fill="FFFFFF"/>
          <w:lang w:val="en-US"/>
        </w:rPr>
        <w:t>Amplatzer</w:t>
      </w:r>
      <w:proofErr w:type="spellEnd"/>
      <w:r w:rsidRPr="00256461">
        <w:rPr>
          <w:color w:val="131212"/>
          <w:shd w:val="clear" w:color="auto" w:fill="FFFFFF"/>
        </w:rPr>
        <w:t xml:space="preserve"> </w:t>
      </w:r>
      <w:r w:rsidRPr="00256461">
        <w:rPr>
          <w:color w:val="131212"/>
          <w:shd w:val="clear" w:color="auto" w:fill="FFFFFF"/>
          <w:lang w:val="en-US"/>
        </w:rPr>
        <w:t>Amulet</w:t>
      </w:r>
      <w:r w:rsidRPr="00256461">
        <w:rPr>
          <w:color w:val="131212"/>
          <w:shd w:val="clear" w:color="auto" w:fill="FFFFFF"/>
        </w:rPr>
        <w:t xml:space="preserve"> компании </w:t>
      </w:r>
      <w:r w:rsidRPr="00256461">
        <w:rPr>
          <w:color w:val="131212"/>
          <w:shd w:val="clear" w:color="auto" w:fill="FFFFFF"/>
          <w:lang w:val="en-US"/>
        </w:rPr>
        <w:t>Abbott</w:t>
      </w:r>
      <w:r w:rsidRPr="00256461">
        <w:rPr>
          <w:color w:val="131212"/>
          <w:shd w:val="clear" w:color="auto" w:fill="FFFFFF"/>
        </w:rPr>
        <w:t xml:space="preserve"> или </w:t>
      </w:r>
      <w:r w:rsidRPr="00256461">
        <w:rPr>
          <w:color w:val="131212"/>
          <w:shd w:val="clear" w:color="auto" w:fill="FFFFFF"/>
          <w:lang w:val="en-US"/>
        </w:rPr>
        <w:t>Watchman</w:t>
      </w:r>
      <w:r w:rsidRPr="00256461">
        <w:rPr>
          <w:color w:val="131212"/>
          <w:shd w:val="clear" w:color="auto" w:fill="FFFFFF"/>
        </w:rPr>
        <w:t xml:space="preserve"> </w:t>
      </w:r>
      <w:r w:rsidRPr="00256461">
        <w:rPr>
          <w:color w:val="131212"/>
          <w:shd w:val="clear" w:color="auto" w:fill="FFFFFF"/>
          <w:lang w:val="en-US"/>
        </w:rPr>
        <w:t>FLX</w:t>
      </w:r>
      <w:r w:rsidRPr="00256461">
        <w:rPr>
          <w:color w:val="131212"/>
          <w:shd w:val="clear" w:color="auto" w:fill="FFFFFF"/>
        </w:rPr>
        <w:t xml:space="preserve"> компании </w:t>
      </w:r>
      <w:r w:rsidRPr="00256461">
        <w:rPr>
          <w:color w:val="131212"/>
          <w:shd w:val="clear" w:color="auto" w:fill="FFFFFF"/>
          <w:lang w:val="en-US"/>
        </w:rPr>
        <w:t>Boston</w:t>
      </w:r>
      <w:r w:rsidRPr="00256461">
        <w:rPr>
          <w:color w:val="131212"/>
          <w:shd w:val="clear" w:color="auto" w:fill="FFFFFF"/>
        </w:rPr>
        <w:t xml:space="preserve"> </w:t>
      </w:r>
      <w:r w:rsidRPr="00256461">
        <w:rPr>
          <w:color w:val="131212"/>
          <w:shd w:val="clear" w:color="auto" w:fill="FFFFFF"/>
          <w:lang w:val="en-US"/>
        </w:rPr>
        <w:t>Scientific</w:t>
      </w:r>
      <w:r w:rsidRPr="00256461">
        <w:rPr>
          <w:color w:val="131212"/>
          <w:shd w:val="clear" w:color="auto" w:fill="FFFFFF"/>
        </w:rPr>
        <w:t xml:space="preserve">), либо в группу стандартной терапии по назначению врача (включая </w:t>
      </w:r>
      <w:proofErr w:type="spellStart"/>
      <w:r w:rsidRPr="00256461">
        <w:rPr>
          <w:color w:val="131212"/>
          <w:shd w:val="clear" w:color="auto" w:fill="FFFFFF"/>
        </w:rPr>
        <w:t>антикоагулянтную</w:t>
      </w:r>
      <w:proofErr w:type="spellEnd"/>
      <w:r w:rsidRPr="00256461">
        <w:rPr>
          <w:color w:val="131212"/>
          <w:shd w:val="clear" w:color="auto" w:fill="FFFFFF"/>
        </w:rPr>
        <w:t xml:space="preserve"> терапию при наличии показаний). Подавляющее большинство пациентов, которым была назначена стандартная терапия, принимали прямые пероральные антикоагулянты (ПОАК). Изначально большинство пациентов в группе </w:t>
      </w:r>
      <w:proofErr w:type="spellStart"/>
      <w:r w:rsidRPr="00256461">
        <w:rPr>
          <w:color w:val="131212"/>
          <w:shd w:val="clear" w:color="auto" w:fill="FFFFFF"/>
        </w:rPr>
        <w:t>окклюдера</w:t>
      </w:r>
      <w:proofErr w:type="spellEnd"/>
      <w:r w:rsidRPr="00256461">
        <w:rPr>
          <w:color w:val="131212"/>
          <w:shd w:val="clear" w:color="auto" w:fill="FFFFFF"/>
        </w:rPr>
        <w:t xml:space="preserve"> получали двойную </w:t>
      </w:r>
      <w:proofErr w:type="spellStart"/>
      <w:r w:rsidRPr="00256461">
        <w:rPr>
          <w:color w:val="131212"/>
          <w:shd w:val="clear" w:color="auto" w:fill="FFFFFF"/>
        </w:rPr>
        <w:t>антиагрегантную</w:t>
      </w:r>
      <w:proofErr w:type="spellEnd"/>
      <w:r w:rsidRPr="00256461">
        <w:rPr>
          <w:color w:val="131212"/>
          <w:shd w:val="clear" w:color="auto" w:fill="FFFFFF"/>
        </w:rPr>
        <w:t xml:space="preserve"> терапию, но через 3 месяца большинство перешло на один </w:t>
      </w:r>
      <w:proofErr w:type="spellStart"/>
      <w:r w:rsidRPr="00256461">
        <w:rPr>
          <w:color w:val="131212"/>
          <w:shd w:val="clear" w:color="auto" w:fill="FFFFFF"/>
        </w:rPr>
        <w:t>антиагрегант</w:t>
      </w:r>
      <w:proofErr w:type="spellEnd"/>
      <w:r w:rsidRPr="00256461">
        <w:rPr>
          <w:color w:val="131212"/>
          <w:shd w:val="clear" w:color="auto" w:fill="FFFFFF"/>
        </w:rPr>
        <w:t>. Медиана наблюдения составила 3 ​​года.</w:t>
      </w:r>
    </w:p>
    <w:p w14:paraId="57AEDB14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К 6 годам применение </w:t>
      </w:r>
      <w:proofErr w:type="spellStart"/>
      <w:r w:rsidRPr="00256461">
        <w:rPr>
          <w:color w:val="131212"/>
          <w:shd w:val="clear" w:color="auto" w:fill="FFFFFF"/>
        </w:rPr>
        <w:t>окклюдера</w:t>
      </w:r>
      <w:proofErr w:type="spellEnd"/>
      <w:r w:rsidRPr="00256461">
        <w:rPr>
          <w:color w:val="131212"/>
          <w:shd w:val="clear" w:color="auto" w:fill="FFFFFF"/>
        </w:rPr>
        <w:t xml:space="preserve"> не соответствовала критериям не меньшей эффективности по расчетной кумулятивной частоте первичной конечной точки — комбинации, включающей инсульт, системную эмболию, сердечно-сосудистую/необъяснимую смерть или массивное кровотечение (</w:t>
      </w:r>
      <w:r w:rsidRPr="00256461">
        <w:rPr>
          <w:color w:val="131212"/>
          <w:shd w:val="clear" w:color="auto" w:fill="FFFFFF"/>
          <w:lang w:val="en-US"/>
        </w:rPr>
        <w:t>BARC</w:t>
      </w:r>
      <w:r w:rsidRPr="00256461">
        <w:rPr>
          <w:color w:val="131212"/>
          <w:shd w:val="clear" w:color="auto" w:fill="FFFFFF"/>
        </w:rPr>
        <w:t xml:space="preserve"> ≥ 3) — по сравнению со стандартной терапией (</w:t>
      </w:r>
      <w:r w:rsidRPr="00256461">
        <w:rPr>
          <w:color w:val="131212"/>
          <w:shd w:val="clear" w:color="auto" w:fill="FFFFFF"/>
          <w:lang w:val="en-US"/>
        </w:rPr>
        <w:t>P</w:t>
      </w:r>
      <w:r w:rsidRPr="00256461">
        <w:rPr>
          <w:color w:val="131212"/>
          <w:shd w:val="clear" w:color="auto" w:fill="FFFFFF"/>
        </w:rPr>
        <w:t xml:space="preserve"> для не меньшей эффективности = 0,44). Частота конечной точки составила 16,83 на 100 человеко-лет для </w:t>
      </w:r>
      <w:proofErr w:type="spellStart"/>
      <w:r w:rsidRPr="00256461">
        <w:rPr>
          <w:color w:val="131212"/>
          <w:shd w:val="clear" w:color="auto" w:fill="FFFFFF"/>
        </w:rPr>
        <w:t>окклюдера</w:t>
      </w:r>
      <w:proofErr w:type="spellEnd"/>
      <w:r w:rsidRPr="00256461">
        <w:rPr>
          <w:color w:val="131212"/>
          <w:shd w:val="clear" w:color="auto" w:fill="FFFFFF"/>
        </w:rPr>
        <w:t xml:space="preserve"> и 13,27 на 100 человеко-лет для стандартной терапии в анализе «</w:t>
      </w:r>
      <w:r w:rsidRPr="00256461">
        <w:rPr>
          <w:color w:val="131212"/>
          <w:shd w:val="clear" w:color="auto" w:fill="FFFFFF"/>
          <w:lang w:val="en-US"/>
        </w:rPr>
        <w:t>intention</w:t>
      </w:r>
      <w:r w:rsidRPr="00256461">
        <w:rPr>
          <w:color w:val="131212"/>
          <w:shd w:val="clear" w:color="auto" w:fill="FFFFFF"/>
        </w:rPr>
        <w:t>-</w:t>
      </w:r>
      <w:r w:rsidRPr="00256461">
        <w:rPr>
          <w:color w:val="131212"/>
          <w:shd w:val="clear" w:color="auto" w:fill="FFFFFF"/>
          <w:lang w:val="en-US"/>
        </w:rPr>
        <w:t>to</w:t>
      </w:r>
      <w:r w:rsidRPr="00256461">
        <w:rPr>
          <w:color w:val="131212"/>
          <w:shd w:val="clear" w:color="auto" w:fill="FFFFFF"/>
        </w:rPr>
        <w:t>-</w:t>
      </w:r>
      <w:r w:rsidRPr="00256461">
        <w:rPr>
          <w:color w:val="131212"/>
          <w:shd w:val="clear" w:color="auto" w:fill="FFFFFF"/>
          <w:lang w:val="en-US"/>
        </w:rPr>
        <w:t>treat</w:t>
      </w:r>
      <w:r w:rsidRPr="00256461">
        <w:rPr>
          <w:color w:val="131212"/>
          <w:shd w:val="clear" w:color="auto" w:fill="FFFFFF"/>
        </w:rPr>
        <w:t>», что соответствует скорректированному отношению рисков 1,28 (95% ДИ 1,01–1,62). Каждый из отдельных компонентов наблюдался с одинаковой частотой в обеих группах, хотя исследование не было рассчитано на эти конечные точки.</w:t>
      </w:r>
    </w:p>
    <w:p w14:paraId="6A177F2E" w14:textId="77777777" w:rsidR="006668CD" w:rsidRPr="00256461" w:rsidRDefault="006668CD" w:rsidP="006668CD">
      <w:pPr>
        <w:spacing w:line="360" w:lineRule="auto"/>
        <w:rPr>
          <w:color w:val="131212"/>
          <w:shd w:val="clear" w:color="auto" w:fill="FFFFFF"/>
        </w:rPr>
      </w:pPr>
      <w:r w:rsidRPr="00256461">
        <w:rPr>
          <w:color w:val="131212"/>
          <w:shd w:val="clear" w:color="auto" w:fill="FFFFFF"/>
        </w:rPr>
        <w:t xml:space="preserve">Полученные результаты свидетельствуют в пользу проведения стандартной </w:t>
      </w:r>
      <w:proofErr w:type="spellStart"/>
      <w:r w:rsidRPr="00256461">
        <w:rPr>
          <w:color w:val="131212"/>
          <w:shd w:val="clear" w:color="auto" w:fill="FFFFFF"/>
        </w:rPr>
        <w:t>антикоагулянтной</w:t>
      </w:r>
      <w:proofErr w:type="spellEnd"/>
      <w:r w:rsidRPr="00256461">
        <w:rPr>
          <w:color w:val="131212"/>
          <w:shd w:val="clear" w:color="auto" w:fill="FFFFFF"/>
        </w:rPr>
        <w:t xml:space="preserve"> терапии.</w:t>
      </w:r>
    </w:p>
    <w:p w14:paraId="2276FDA6" w14:textId="0EFE1725" w:rsidR="006668CD" w:rsidRDefault="006668CD" w:rsidP="006668CD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i/>
          <w:iCs/>
          <w:color w:val="363636"/>
        </w:rPr>
      </w:pPr>
      <w:proofErr w:type="spellStart"/>
      <w:r w:rsidRPr="00256461">
        <w:rPr>
          <w:i/>
          <w:iCs/>
          <w:color w:val="363636"/>
          <w:lang w:val="en-US"/>
        </w:rPr>
        <w:t>Landmesser</w:t>
      </w:r>
      <w:proofErr w:type="spellEnd"/>
      <w:r w:rsidRPr="00256461">
        <w:rPr>
          <w:i/>
          <w:iCs/>
          <w:color w:val="363636"/>
          <w:lang w:val="en-US"/>
        </w:rPr>
        <w:t xml:space="preserve"> U. CLOSURE-AF: left atrial appendage closure in patients with atrial fibrillation at high risk of stroke and bleeding compared to medical therapy. </w:t>
      </w:r>
      <w:proofErr w:type="spellStart"/>
      <w:r w:rsidRPr="00256461">
        <w:rPr>
          <w:i/>
          <w:iCs/>
          <w:color w:val="363636"/>
        </w:rPr>
        <w:t>Presented</w:t>
      </w:r>
      <w:proofErr w:type="spellEnd"/>
      <w:r w:rsidRPr="00256461">
        <w:rPr>
          <w:i/>
          <w:iCs/>
          <w:color w:val="363636"/>
        </w:rPr>
        <w:t xml:space="preserve"> </w:t>
      </w:r>
      <w:proofErr w:type="spellStart"/>
      <w:r w:rsidRPr="00256461">
        <w:rPr>
          <w:i/>
          <w:iCs/>
          <w:color w:val="363636"/>
        </w:rPr>
        <w:t>at</w:t>
      </w:r>
      <w:proofErr w:type="spellEnd"/>
      <w:r w:rsidRPr="00256461">
        <w:rPr>
          <w:i/>
          <w:iCs/>
          <w:color w:val="363636"/>
        </w:rPr>
        <w:t xml:space="preserve">: AHA 2025. </w:t>
      </w:r>
      <w:proofErr w:type="spellStart"/>
      <w:r w:rsidRPr="00256461">
        <w:rPr>
          <w:i/>
          <w:iCs/>
          <w:color w:val="363636"/>
        </w:rPr>
        <w:t>November</w:t>
      </w:r>
      <w:proofErr w:type="spellEnd"/>
      <w:r w:rsidRPr="00256461">
        <w:rPr>
          <w:i/>
          <w:iCs/>
          <w:color w:val="363636"/>
        </w:rPr>
        <w:t xml:space="preserve"> 8, 2025. </w:t>
      </w:r>
      <w:proofErr w:type="spellStart"/>
      <w:r w:rsidRPr="00256461">
        <w:rPr>
          <w:i/>
          <w:iCs/>
          <w:color w:val="363636"/>
        </w:rPr>
        <w:t>New</w:t>
      </w:r>
      <w:proofErr w:type="spellEnd"/>
      <w:r w:rsidRPr="00256461">
        <w:rPr>
          <w:i/>
          <w:iCs/>
          <w:color w:val="363636"/>
        </w:rPr>
        <w:t xml:space="preserve"> </w:t>
      </w:r>
      <w:proofErr w:type="spellStart"/>
      <w:r w:rsidRPr="00256461">
        <w:rPr>
          <w:i/>
          <w:iCs/>
          <w:color w:val="363636"/>
        </w:rPr>
        <w:t>Orleans</w:t>
      </w:r>
      <w:proofErr w:type="spellEnd"/>
      <w:r w:rsidRPr="00256461">
        <w:rPr>
          <w:i/>
          <w:iCs/>
          <w:color w:val="363636"/>
        </w:rPr>
        <w:t>, LA.</w:t>
      </w:r>
    </w:p>
    <w:p w14:paraId="44CA9B6A" w14:textId="2BB91B75" w:rsidR="000D4799" w:rsidRDefault="000D4799" w:rsidP="006668CD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i/>
          <w:iCs/>
          <w:color w:val="363636"/>
        </w:rPr>
      </w:pPr>
    </w:p>
    <w:p w14:paraId="775F2B32" w14:textId="41C3CCA6" w:rsidR="000D4799" w:rsidRPr="000D4799" w:rsidRDefault="000D4799" w:rsidP="006668CD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color w:val="363636"/>
        </w:rPr>
      </w:pPr>
      <w:r>
        <w:rPr>
          <w:color w:val="363636"/>
        </w:rPr>
        <w:t xml:space="preserve">Текст: Шахматова </w:t>
      </w:r>
      <w:proofErr w:type="gramStart"/>
      <w:r>
        <w:rPr>
          <w:color w:val="363636"/>
        </w:rPr>
        <w:t>О.О.</w:t>
      </w:r>
      <w:proofErr w:type="gramEnd"/>
    </w:p>
    <w:p w14:paraId="047D9E2E" w14:textId="622A0501" w:rsidR="006668CD" w:rsidRDefault="006668CD" w:rsidP="006668CD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i/>
          <w:iCs/>
          <w:color w:val="363636"/>
        </w:rPr>
      </w:pPr>
    </w:p>
    <w:p w14:paraId="010EDD58" w14:textId="77777777" w:rsidR="006668CD" w:rsidRPr="000D4799" w:rsidRDefault="006668CD" w:rsidP="006668CD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color w:val="363636"/>
          <w:lang w:val="en-US"/>
        </w:rPr>
      </w:pPr>
    </w:p>
    <w:p w14:paraId="7DDFFCF9" w14:textId="77777777" w:rsidR="0027453A" w:rsidRPr="0027453A" w:rsidRDefault="0027453A" w:rsidP="006668CD">
      <w:pPr>
        <w:spacing w:line="360" w:lineRule="auto"/>
        <w:rPr>
          <w:lang w:val="en-US"/>
        </w:rPr>
      </w:pPr>
    </w:p>
    <w:p w14:paraId="28F2212C" w14:textId="77777777" w:rsidR="006868A7" w:rsidRPr="0027453A" w:rsidRDefault="006868A7" w:rsidP="006668CD">
      <w:pPr>
        <w:spacing w:line="360" w:lineRule="auto"/>
        <w:rPr>
          <w:lang w:val="en-US"/>
        </w:rPr>
      </w:pPr>
    </w:p>
    <w:p w14:paraId="2EB34757" w14:textId="5914C96C" w:rsidR="00354BBB" w:rsidRPr="0027453A" w:rsidRDefault="00354BBB" w:rsidP="006668CD">
      <w:pPr>
        <w:spacing w:line="360" w:lineRule="auto"/>
        <w:rPr>
          <w:lang w:val="en-US"/>
        </w:rPr>
      </w:pPr>
    </w:p>
    <w:p w14:paraId="0D802920" w14:textId="77777777" w:rsidR="00354BBB" w:rsidRPr="0027453A" w:rsidRDefault="00354BBB" w:rsidP="006668CD">
      <w:pPr>
        <w:spacing w:line="360" w:lineRule="auto"/>
        <w:rPr>
          <w:lang w:val="en-US"/>
        </w:rPr>
      </w:pPr>
    </w:p>
    <w:p w14:paraId="129D4FFF" w14:textId="77777777" w:rsidR="0091267A" w:rsidRPr="0027453A" w:rsidRDefault="0091267A" w:rsidP="006668CD">
      <w:pPr>
        <w:spacing w:line="360" w:lineRule="auto"/>
        <w:rPr>
          <w:b/>
          <w:bCs/>
          <w:lang w:val="en-US"/>
        </w:rPr>
      </w:pPr>
    </w:p>
    <w:p w14:paraId="40ECE650" w14:textId="77777777" w:rsidR="0091267A" w:rsidRPr="0027453A" w:rsidRDefault="0091267A" w:rsidP="006668CD">
      <w:pPr>
        <w:spacing w:line="360" w:lineRule="auto"/>
        <w:rPr>
          <w:lang w:val="en-US"/>
        </w:rPr>
      </w:pPr>
    </w:p>
    <w:sectPr w:rsidR="0091267A" w:rsidRPr="0027453A" w:rsidSect="004574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A"/>
    <w:rsid w:val="000850ED"/>
    <w:rsid w:val="00094F5C"/>
    <w:rsid w:val="000D4799"/>
    <w:rsid w:val="00107A66"/>
    <w:rsid w:val="001F41C0"/>
    <w:rsid w:val="00204CDE"/>
    <w:rsid w:val="00223713"/>
    <w:rsid w:val="00267875"/>
    <w:rsid w:val="002744DA"/>
    <w:rsid w:val="0027453A"/>
    <w:rsid w:val="002B7D46"/>
    <w:rsid w:val="002E77ED"/>
    <w:rsid w:val="00354BBB"/>
    <w:rsid w:val="004046D9"/>
    <w:rsid w:val="00452914"/>
    <w:rsid w:val="004574C6"/>
    <w:rsid w:val="0046388E"/>
    <w:rsid w:val="004A7E63"/>
    <w:rsid w:val="005051E5"/>
    <w:rsid w:val="00514B58"/>
    <w:rsid w:val="00551E4B"/>
    <w:rsid w:val="00592FCD"/>
    <w:rsid w:val="005B30DB"/>
    <w:rsid w:val="005E2543"/>
    <w:rsid w:val="00607BC2"/>
    <w:rsid w:val="006668CD"/>
    <w:rsid w:val="006868A7"/>
    <w:rsid w:val="006E260C"/>
    <w:rsid w:val="007C1253"/>
    <w:rsid w:val="007F50ED"/>
    <w:rsid w:val="00840B93"/>
    <w:rsid w:val="00852AC1"/>
    <w:rsid w:val="00872C91"/>
    <w:rsid w:val="00897443"/>
    <w:rsid w:val="008C0BEA"/>
    <w:rsid w:val="008E3F30"/>
    <w:rsid w:val="0091267A"/>
    <w:rsid w:val="009B6523"/>
    <w:rsid w:val="009C5990"/>
    <w:rsid w:val="009D1C8F"/>
    <w:rsid w:val="00AF4F4A"/>
    <w:rsid w:val="00B553F7"/>
    <w:rsid w:val="00DD6CC6"/>
    <w:rsid w:val="00DF0495"/>
    <w:rsid w:val="00E972E3"/>
    <w:rsid w:val="00F06A66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BB983"/>
  <w15:chartTrackingRefBased/>
  <w15:docId w15:val="{9C4E62A0-B8CF-3640-A904-A8DAE062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4F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-author-delim">
    <w:name w:val="al-author-delim"/>
    <w:basedOn w:val="a0"/>
    <w:rsid w:val="00FE308A"/>
  </w:style>
  <w:style w:type="character" w:customStyle="1" w:styleId="11">
    <w:name w:val="Подзаголовок1"/>
    <w:basedOn w:val="a0"/>
    <w:rsid w:val="00FE308A"/>
  </w:style>
  <w:style w:type="character" w:customStyle="1" w:styleId="colon-for-citation-subtitle">
    <w:name w:val="colon-for-citation-subtitle"/>
    <w:basedOn w:val="a0"/>
    <w:rsid w:val="00FE308A"/>
  </w:style>
  <w:style w:type="character" w:styleId="a3">
    <w:name w:val="Emphasis"/>
    <w:basedOn w:val="a0"/>
    <w:uiPriority w:val="20"/>
    <w:qFormat/>
    <w:rsid w:val="00FE308A"/>
    <w:rPr>
      <w:i/>
      <w:iCs/>
    </w:rPr>
  </w:style>
  <w:style w:type="character" w:styleId="a4">
    <w:name w:val="Hyperlink"/>
    <w:basedOn w:val="a0"/>
    <w:uiPriority w:val="99"/>
    <w:unhideWhenUsed/>
    <w:rsid w:val="00354B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4BB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94F5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F049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452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dence.nejm.org/doi/full/10.1056/EVIDoa2500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.org/Latest-in-Cardiology/Articles/2025/11/03/16/19/mon-915am-tuxedo-aha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jm.org/doi/full/10.1056/NEJMoa25080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jm.org/doi/abs/10.1056/NEJMoa250753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amanetwork.com/journals/jama/article-abstract/2838294" TargetMode="External"/><Relationship Id="rId9" Type="http://schemas.openxmlformats.org/officeDocument/2006/relationships/hyperlink" Target="https://www.nejm.org/doi/full/10.1056/NEJMoa2512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</dc:creator>
  <cp:keywords/>
  <dc:description/>
  <cp:lastModifiedBy>user 20</cp:lastModifiedBy>
  <cp:revision>9</cp:revision>
  <dcterms:created xsi:type="dcterms:W3CDTF">2025-11-24T07:23:00Z</dcterms:created>
  <dcterms:modified xsi:type="dcterms:W3CDTF">2025-11-24T10:08:00Z</dcterms:modified>
</cp:coreProperties>
</file>